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67E7" w:rsidRDefault="007167E7" w:rsidP="007167E7">
      <w:pPr>
        <w:spacing w:after="0" w:line="259" w:lineRule="auto"/>
        <w:rPr>
          <w:rFonts w:ascii="Arial" w:hAnsi="Arial" w:cs="Arial"/>
          <w:b/>
          <w:sz w:val="36"/>
        </w:rPr>
      </w:pPr>
      <w:bookmarkStart w:id="0" w:name="_Ref361666370"/>
      <w:r w:rsidRPr="009F273E">
        <w:rPr>
          <w:rFonts w:ascii="Arial" w:hAnsi="Arial" w:cs="Arial"/>
          <w:b/>
          <w:sz w:val="36"/>
        </w:rPr>
        <w:t xml:space="preserve">Framework Schedule </w:t>
      </w:r>
      <w:r>
        <w:rPr>
          <w:rFonts w:ascii="Arial" w:hAnsi="Arial" w:cs="Arial"/>
          <w:b/>
          <w:sz w:val="36"/>
        </w:rPr>
        <w:t>1 (Specification)</w:t>
      </w:r>
    </w:p>
    <w:p w:rsidR="000854B6" w:rsidRPr="000C76ED" w:rsidRDefault="002752A5" w:rsidP="008113CB">
      <w:pPr>
        <w:pStyle w:val="GPSL2Numbered"/>
        <w:ind w:left="0" w:firstLine="0"/>
        <w:jc w:val="left"/>
        <w:rPr>
          <w:rFonts w:ascii="Arial" w:hAnsi="Arial"/>
          <w:sz w:val="24"/>
        </w:rPr>
      </w:pPr>
      <w:r w:rsidRPr="000C76ED">
        <w:rPr>
          <w:rFonts w:ascii="Arial" w:hAnsi="Arial"/>
          <w:sz w:val="24"/>
        </w:rPr>
        <w:t xml:space="preserve">This Schedule sets out </w:t>
      </w:r>
      <w:r w:rsidR="00CD71F7">
        <w:rPr>
          <w:rFonts w:ascii="Arial" w:hAnsi="Arial"/>
          <w:sz w:val="24"/>
        </w:rPr>
        <w:t>what we and our buyers want</w:t>
      </w:r>
      <w:r w:rsidRPr="000C76ED">
        <w:rPr>
          <w:rFonts w:ascii="Arial" w:hAnsi="Arial"/>
          <w:sz w:val="24"/>
        </w:rPr>
        <w:t>.</w:t>
      </w:r>
      <w:bookmarkEnd w:id="0"/>
    </w:p>
    <w:p w:rsidR="000854B6" w:rsidRPr="000C76ED" w:rsidRDefault="002752A5" w:rsidP="008113CB">
      <w:pPr>
        <w:pStyle w:val="GPSL2Numbered"/>
        <w:ind w:left="0" w:firstLine="0"/>
        <w:jc w:val="left"/>
        <w:rPr>
          <w:rFonts w:ascii="Arial" w:hAnsi="Arial"/>
          <w:sz w:val="24"/>
        </w:rPr>
      </w:pPr>
      <w:r w:rsidRPr="000C76ED">
        <w:rPr>
          <w:rFonts w:ascii="Arial" w:hAnsi="Arial"/>
          <w:sz w:val="24"/>
        </w:rPr>
        <w:t xml:space="preserve">The </w:t>
      </w:r>
      <w:r w:rsidR="00CD71F7">
        <w:rPr>
          <w:rFonts w:ascii="Arial" w:hAnsi="Arial"/>
          <w:sz w:val="24"/>
        </w:rPr>
        <w:t>s</w:t>
      </w:r>
      <w:r w:rsidRPr="000C76ED">
        <w:rPr>
          <w:rFonts w:ascii="Arial" w:hAnsi="Arial"/>
          <w:sz w:val="24"/>
        </w:rPr>
        <w:t xml:space="preserve">upplier must only provide the Deliverables for the Lot that they have been appointed to. </w:t>
      </w:r>
    </w:p>
    <w:p w:rsidR="000854B6" w:rsidRPr="000C76ED" w:rsidRDefault="002752A5" w:rsidP="008113CB">
      <w:pPr>
        <w:pStyle w:val="GPSL2Numbered"/>
        <w:ind w:left="0" w:firstLine="0"/>
        <w:jc w:val="left"/>
        <w:rPr>
          <w:rFonts w:ascii="Arial" w:hAnsi="Arial"/>
          <w:sz w:val="24"/>
        </w:rPr>
      </w:pPr>
      <w:r w:rsidRPr="000C76ED">
        <w:rPr>
          <w:rFonts w:ascii="Arial" w:hAnsi="Arial"/>
          <w:sz w:val="24"/>
        </w:rPr>
        <w:t>For all Lots and/or Deliverables, the Supplier must help Buyers comply with any specific applicable Standards of the Buyer.</w:t>
      </w:r>
    </w:p>
    <w:p w:rsidR="000854B6" w:rsidRDefault="002752A5" w:rsidP="008113CB">
      <w:pPr>
        <w:pStyle w:val="GPSL2Numbered"/>
        <w:tabs>
          <w:tab w:val="clear" w:pos="709"/>
          <w:tab w:val="left" w:pos="284"/>
        </w:tabs>
        <w:ind w:left="0" w:firstLine="0"/>
        <w:jc w:val="left"/>
        <w:rPr>
          <w:rFonts w:ascii="Arial" w:hAnsi="Arial"/>
          <w:sz w:val="24"/>
        </w:rPr>
      </w:pPr>
      <w:r w:rsidRPr="000C76ED">
        <w:rPr>
          <w:rFonts w:ascii="Arial" w:hAnsi="Arial"/>
          <w:sz w:val="24"/>
        </w:rPr>
        <w:t xml:space="preserve">The Deliverables and any Standards set out in </w:t>
      </w:r>
      <w:r w:rsidR="000B5BD9" w:rsidRPr="000C76ED">
        <w:rPr>
          <w:rFonts w:ascii="Arial" w:hAnsi="Arial"/>
          <w:sz w:val="24"/>
        </w:rPr>
        <w:t>P</w:t>
      </w:r>
      <w:r w:rsidRPr="000C76ED">
        <w:rPr>
          <w:rFonts w:ascii="Arial" w:hAnsi="Arial"/>
          <w:sz w:val="24"/>
        </w:rPr>
        <w:t xml:space="preserve">aragraph </w:t>
      </w:r>
      <w:r w:rsidR="008F19A4">
        <w:rPr>
          <w:rFonts w:ascii="Arial" w:hAnsi="Arial"/>
          <w:sz w:val="24"/>
        </w:rPr>
        <w:t>1</w:t>
      </w:r>
      <w:r w:rsidRPr="000C76ED">
        <w:rPr>
          <w:rFonts w:ascii="Arial" w:hAnsi="Arial"/>
          <w:sz w:val="24"/>
        </w:rPr>
        <w:t xml:space="preserve"> below may be refined (to the extent permitted and set out in the Order Form) by a Buyer during a Further Competition Procedure to reflect its Deliverables Requirements for entering a particular Call</w:t>
      </w:r>
      <w:r w:rsidR="00FD5D2D">
        <w:rPr>
          <w:rFonts w:ascii="Arial" w:hAnsi="Arial"/>
          <w:sz w:val="24"/>
        </w:rPr>
        <w:t>-O</w:t>
      </w:r>
      <w:r w:rsidRPr="000C76ED">
        <w:rPr>
          <w:rFonts w:ascii="Arial" w:hAnsi="Arial"/>
          <w:sz w:val="24"/>
        </w:rPr>
        <w:t>ff Contract.</w:t>
      </w:r>
    </w:p>
    <w:p w:rsidR="006126A6" w:rsidRPr="00823CBA" w:rsidRDefault="00823CBA" w:rsidP="00823CBA">
      <w:pPr>
        <w:pStyle w:val="Heading1"/>
        <w:numPr>
          <w:ilvl w:val="0"/>
          <w:numId w:val="13"/>
        </w:numPr>
        <w:spacing w:after="240"/>
        <w:rPr>
          <w:rFonts w:ascii="Arial" w:eastAsia="Times New Roman" w:hAnsi="Arial" w:cs="Arial"/>
          <w:b/>
          <w:color w:val="auto"/>
          <w:sz w:val="28"/>
          <w:szCs w:val="28"/>
        </w:rPr>
      </w:pPr>
      <w:bookmarkStart w:id="1" w:name="_Toc512506835"/>
      <w:r w:rsidRPr="00823CBA">
        <w:rPr>
          <w:rFonts w:ascii="Arial" w:hAnsi="Arial" w:cs="Arial"/>
          <w:b/>
          <w:color w:val="auto"/>
          <w:sz w:val="28"/>
          <w:szCs w:val="28"/>
        </w:rPr>
        <w:t>OUR SOCIAL VALUE PRIORITIES</w:t>
      </w:r>
      <w:bookmarkEnd w:id="1"/>
    </w:p>
    <w:p w:rsidR="000850BE" w:rsidRPr="000850BE" w:rsidRDefault="000850BE" w:rsidP="00823CBA">
      <w:pPr>
        <w:widowControl w:val="0"/>
        <w:numPr>
          <w:ilvl w:val="1"/>
          <w:numId w:val="13"/>
        </w:numPr>
        <w:spacing w:after="120" w:line="240" w:lineRule="auto"/>
        <w:jc w:val="both"/>
        <w:rPr>
          <w:rFonts w:ascii="Arial" w:hAnsi="Arial" w:cs="Arial"/>
        </w:rPr>
      </w:pPr>
      <w:r w:rsidRPr="000850BE">
        <w:rPr>
          <w:rFonts w:ascii="Arial" w:hAnsi="Arial" w:cs="Arial"/>
          <w:color w:val="000000"/>
        </w:rPr>
        <w:t>The Supplier shall deliver and promote Social Value, complying with Joint Schedule 5 (Corporate Social Responsibility) and all relevant legislation.</w:t>
      </w:r>
    </w:p>
    <w:p w:rsidR="000850BE" w:rsidRPr="000850BE" w:rsidRDefault="000850BE" w:rsidP="00823CBA">
      <w:pPr>
        <w:widowControl w:val="0"/>
        <w:numPr>
          <w:ilvl w:val="1"/>
          <w:numId w:val="13"/>
        </w:numPr>
        <w:spacing w:after="120" w:line="240" w:lineRule="auto"/>
        <w:jc w:val="both"/>
        <w:rPr>
          <w:rFonts w:ascii="Arial" w:hAnsi="Arial" w:cs="Arial"/>
        </w:rPr>
      </w:pPr>
      <w:r w:rsidRPr="000850BE">
        <w:rPr>
          <w:rFonts w:ascii="Arial" w:hAnsi="Arial" w:cs="Arial"/>
          <w:color w:val="000000"/>
        </w:rPr>
        <w:t xml:space="preserve">Buyers may have specific Social Value priorities, relating to the area in which the Procurement Card </w:t>
      </w:r>
      <w:r w:rsidRPr="000850BE">
        <w:rPr>
          <w:rFonts w:ascii="Arial" w:hAnsi="Arial" w:cs="Arial"/>
        </w:rPr>
        <w:t>i</w:t>
      </w:r>
      <w:r w:rsidRPr="000850BE">
        <w:rPr>
          <w:rFonts w:ascii="Arial" w:hAnsi="Arial" w:cs="Arial"/>
          <w:color w:val="000000"/>
        </w:rPr>
        <w:t xml:space="preserve">s being delivered, which will be specified as part of the Call-Off Procedure. </w:t>
      </w:r>
    </w:p>
    <w:p w:rsidR="000850BE" w:rsidRPr="000850BE" w:rsidRDefault="000850BE" w:rsidP="00823CBA">
      <w:pPr>
        <w:widowControl w:val="0"/>
        <w:numPr>
          <w:ilvl w:val="1"/>
          <w:numId w:val="13"/>
        </w:numPr>
        <w:spacing w:after="120" w:line="240" w:lineRule="auto"/>
        <w:jc w:val="both"/>
        <w:rPr>
          <w:rFonts w:ascii="Arial" w:hAnsi="Arial" w:cs="Arial"/>
        </w:rPr>
      </w:pPr>
      <w:r w:rsidRPr="000850BE">
        <w:rPr>
          <w:rFonts w:ascii="Arial" w:hAnsi="Arial" w:cs="Arial"/>
          <w:color w:val="000000"/>
        </w:rPr>
        <w:t xml:space="preserve">The Supplier shall promote Social Value in the delivery of the services. As a minimum this shall reflect the key priorities outlined below and </w:t>
      </w:r>
      <w:r w:rsidRPr="000850BE">
        <w:rPr>
          <w:rFonts w:ascii="Arial" w:hAnsi="Arial" w:cs="Arial"/>
        </w:rPr>
        <w:t>within Framework Schedule 2 Framework Tender</w:t>
      </w:r>
      <w:r w:rsidRPr="000850BE">
        <w:rPr>
          <w:rFonts w:ascii="Arial" w:hAnsi="Arial" w:cs="Arial"/>
          <w:color w:val="000000"/>
        </w:rPr>
        <w:t xml:space="preserve">. Social value refers to the wider financial and non-financial impacts of projects and programmes including the wellbeing of individuals and communities, social capital and the environment. </w:t>
      </w:r>
    </w:p>
    <w:p w:rsidR="000850BE" w:rsidRPr="000850BE" w:rsidRDefault="000850BE" w:rsidP="00823CBA">
      <w:pPr>
        <w:widowControl w:val="0"/>
        <w:numPr>
          <w:ilvl w:val="1"/>
          <w:numId w:val="13"/>
        </w:numPr>
        <w:spacing w:after="120" w:line="240" w:lineRule="auto"/>
        <w:jc w:val="both"/>
        <w:rPr>
          <w:rFonts w:ascii="Arial" w:hAnsi="Arial" w:cs="Arial"/>
        </w:rPr>
      </w:pPr>
      <w:r w:rsidRPr="000850BE">
        <w:rPr>
          <w:rFonts w:ascii="Arial" w:hAnsi="Arial" w:cs="Arial"/>
        </w:rPr>
        <w:t xml:space="preserve">The Supplier shall ensure that the performance of the contract, or the way in which the contract is performed is within PPN06/21 and all relevant legislation.  Suppliers shall address the following key priorities and their policy outcomes and delivery objectives, </w:t>
      </w:r>
    </w:p>
    <w:p w:rsidR="000850BE" w:rsidRDefault="000850BE" w:rsidP="00823CBA">
      <w:pPr>
        <w:widowControl w:val="0"/>
        <w:numPr>
          <w:ilvl w:val="2"/>
          <w:numId w:val="13"/>
        </w:numPr>
        <w:tabs>
          <w:tab w:val="clear" w:pos="2520"/>
        </w:tabs>
        <w:spacing w:after="120" w:line="240" w:lineRule="auto"/>
        <w:ind w:left="2410" w:hanging="970"/>
        <w:jc w:val="both"/>
        <w:rPr>
          <w:rFonts w:ascii="Arial" w:hAnsi="Arial" w:cs="Arial"/>
        </w:rPr>
      </w:pPr>
      <w:r w:rsidRPr="000850BE">
        <w:rPr>
          <w:rFonts w:ascii="Arial" w:hAnsi="Arial" w:cs="Arial"/>
        </w:rPr>
        <w:t xml:space="preserve">Fighting climate change: </w:t>
      </w:r>
    </w:p>
    <w:p w:rsidR="00823CBA" w:rsidRPr="00823CBA" w:rsidRDefault="00823CBA" w:rsidP="00823CBA">
      <w:pPr>
        <w:pStyle w:val="ListParagraph"/>
        <w:ind w:left="2410"/>
        <w:jc w:val="both"/>
        <w:rPr>
          <w:rFonts w:ascii="Arial" w:hAnsi="Arial" w:cs="Arial"/>
        </w:rPr>
      </w:pPr>
      <w:r w:rsidRPr="00823CBA">
        <w:rPr>
          <w:rFonts w:ascii="Arial" w:hAnsi="Arial" w:cs="Arial"/>
        </w:rPr>
        <w:t>Policy Outcome - Effective stewardship of the environment</w:t>
      </w:r>
    </w:p>
    <w:p w:rsidR="00823CBA" w:rsidRPr="00823CBA" w:rsidRDefault="00823CBA" w:rsidP="00823CBA">
      <w:pPr>
        <w:pStyle w:val="ListParagraph"/>
        <w:ind w:left="2410"/>
        <w:jc w:val="both"/>
        <w:rPr>
          <w:rFonts w:ascii="Arial" w:hAnsi="Arial" w:cs="Arial"/>
        </w:rPr>
      </w:pPr>
      <w:r w:rsidRPr="00823CBA">
        <w:rPr>
          <w:rFonts w:ascii="Arial" w:hAnsi="Arial" w:cs="Arial"/>
        </w:rPr>
        <w:t>Delivery Objective - Additional Environmental Benefits</w:t>
      </w:r>
    </w:p>
    <w:p w:rsidR="00823CBA" w:rsidRPr="00823CBA" w:rsidRDefault="00823CBA" w:rsidP="00823CBA">
      <w:pPr>
        <w:pStyle w:val="ListParagraph"/>
        <w:spacing w:before="120" w:after="120"/>
        <w:ind w:left="2410"/>
        <w:jc w:val="both"/>
        <w:rPr>
          <w:rFonts w:ascii="Arial" w:hAnsi="Arial" w:cs="Arial"/>
        </w:rPr>
      </w:pPr>
      <w:r w:rsidRPr="00823CBA">
        <w:rPr>
          <w:rFonts w:ascii="Arial" w:hAnsi="Arial" w:cs="Arial"/>
        </w:rPr>
        <w:t>(</w:t>
      </w:r>
      <w:proofErr w:type="spellStart"/>
      <w:r w:rsidRPr="00823CBA">
        <w:rPr>
          <w:rFonts w:ascii="Arial" w:hAnsi="Arial" w:cs="Arial"/>
        </w:rPr>
        <w:t>i</w:t>
      </w:r>
      <w:proofErr w:type="spellEnd"/>
      <w:r w:rsidRPr="00823CBA">
        <w:rPr>
          <w:rFonts w:ascii="Arial" w:hAnsi="Arial" w:cs="Arial"/>
        </w:rPr>
        <w:t xml:space="preserve">) results in environmental protection and improvement, including working towards net zero greenhouse gas emissions. </w:t>
      </w:r>
    </w:p>
    <w:p w:rsidR="00823CBA" w:rsidRPr="00823CBA" w:rsidRDefault="00823CBA" w:rsidP="00823CBA">
      <w:pPr>
        <w:pStyle w:val="ListParagraph"/>
        <w:spacing w:before="120" w:after="120"/>
        <w:ind w:left="2410"/>
        <w:jc w:val="both"/>
        <w:rPr>
          <w:rFonts w:ascii="Arial" w:hAnsi="Arial" w:cs="Arial"/>
        </w:rPr>
      </w:pPr>
      <w:r w:rsidRPr="00823CBA">
        <w:rPr>
          <w:rFonts w:ascii="Arial" w:hAnsi="Arial" w:cs="Arial"/>
        </w:rPr>
        <w:t>(ii) influences staff, suppliers, customers and communities to support environmental protection and improvement.</w:t>
      </w:r>
    </w:p>
    <w:p w:rsidR="00823CBA" w:rsidRPr="00823CBA" w:rsidRDefault="00823CBA" w:rsidP="00823CBA">
      <w:pPr>
        <w:widowControl w:val="0"/>
        <w:spacing w:after="120" w:line="240" w:lineRule="auto"/>
        <w:jc w:val="both"/>
        <w:rPr>
          <w:rFonts w:ascii="Arial" w:hAnsi="Arial" w:cs="Arial"/>
        </w:rPr>
      </w:pPr>
    </w:p>
    <w:p w:rsidR="00823CBA" w:rsidRDefault="006126A6" w:rsidP="006126A6">
      <w:pPr>
        <w:shd w:val="clear" w:color="auto" w:fill="FFFFFF"/>
        <w:rPr>
          <w:rFonts w:ascii="Arial" w:eastAsia="Times New Roman" w:hAnsi="Arial" w:cs="Arial"/>
          <w:color w:val="222222"/>
          <w:sz w:val="24"/>
          <w:szCs w:val="24"/>
        </w:rPr>
      </w:pPr>
      <w:r w:rsidRPr="006126A6">
        <w:rPr>
          <w:rFonts w:ascii="Arial" w:eastAsia="Times New Roman" w:hAnsi="Arial" w:cs="Arial"/>
          <w:color w:val="222222"/>
          <w:sz w:val="24"/>
          <w:szCs w:val="24"/>
        </w:rPr>
        <w:t xml:space="preserve">The buyer can identify specific social value priorities at call-off.  </w:t>
      </w:r>
    </w:p>
    <w:p w:rsidR="00823CBA" w:rsidRDefault="00823CBA">
      <w:pPr>
        <w:rPr>
          <w:rFonts w:ascii="Arial" w:eastAsia="Times New Roman" w:hAnsi="Arial" w:cs="Arial"/>
          <w:color w:val="222222"/>
          <w:sz w:val="24"/>
          <w:szCs w:val="24"/>
        </w:rPr>
      </w:pPr>
      <w:r>
        <w:rPr>
          <w:rFonts w:ascii="Arial" w:eastAsia="Times New Roman" w:hAnsi="Arial" w:cs="Arial"/>
          <w:color w:val="222222"/>
          <w:sz w:val="24"/>
          <w:szCs w:val="24"/>
        </w:rPr>
        <w:br w:type="page"/>
      </w:r>
    </w:p>
    <w:p w:rsidR="000850BE" w:rsidRDefault="00823CBA" w:rsidP="00823CBA">
      <w:pPr>
        <w:pStyle w:val="Heading1"/>
        <w:numPr>
          <w:ilvl w:val="0"/>
          <w:numId w:val="13"/>
        </w:numPr>
        <w:spacing w:after="240"/>
        <w:rPr>
          <w:rFonts w:ascii="Arial" w:hAnsi="Arial" w:cs="Arial"/>
          <w:b/>
          <w:color w:val="auto"/>
          <w:sz w:val="28"/>
          <w:szCs w:val="28"/>
        </w:rPr>
      </w:pPr>
      <w:r w:rsidRPr="00823CBA">
        <w:rPr>
          <w:rFonts w:ascii="Arial" w:hAnsi="Arial" w:cs="Arial"/>
          <w:b/>
          <w:color w:val="auto"/>
          <w:sz w:val="28"/>
          <w:szCs w:val="28"/>
        </w:rPr>
        <w:lastRenderedPageBreak/>
        <w:t>DEFINITIONS</w:t>
      </w:r>
    </w:p>
    <w:p w:rsidR="000850BE" w:rsidRDefault="000850BE" w:rsidP="00823CBA">
      <w:pPr>
        <w:widowControl w:val="0"/>
        <w:numPr>
          <w:ilvl w:val="1"/>
          <w:numId w:val="13"/>
        </w:numPr>
        <w:spacing w:after="120" w:line="240" w:lineRule="auto"/>
        <w:jc w:val="both"/>
        <w:rPr>
          <w:rFonts w:ascii="Arial" w:hAnsi="Arial" w:cs="Arial"/>
          <w:color w:val="000000"/>
        </w:rPr>
      </w:pPr>
      <w:r w:rsidRPr="00823CBA">
        <w:rPr>
          <w:rFonts w:ascii="Arial" w:hAnsi="Arial" w:cs="Arial"/>
          <w:color w:val="000000"/>
        </w:rPr>
        <w:t>In this Section, the following words shall have the following meanings and they shall supplement Joint Schedule 1 (Definitions)</w:t>
      </w:r>
    </w:p>
    <w:tbl>
      <w:tblPr>
        <w:tblStyle w:val="1"/>
        <w:tblW w:w="973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5"/>
        <w:gridCol w:w="8038"/>
      </w:tblGrid>
      <w:tr w:rsidR="00823CBA" w:rsidTr="00F20E3A">
        <w:trPr>
          <w:cantSplit/>
        </w:trPr>
        <w:tc>
          <w:tcPr>
            <w:tcW w:w="871" w:type="pct"/>
          </w:tcPr>
          <w:p w:rsidR="00823CBA" w:rsidRPr="00F20E3A" w:rsidRDefault="00823CBA" w:rsidP="002F1ED8">
            <w:pPr>
              <w:rPr>
                <w:b/>
                <w:sz w:val="24"/>
                <w:szCs w:val="24"/>
              </w:rPr>
            </w:pPr>
            <w:r w:rsidRPr="00F20E3A">
              <w:rPr>
                <w:b/>
                <w:sz w:val="24"/>
                <w:szCs w:val="24"/>
              </w:rPr>
              <w:t>Term</w:t>
            </w:r>
          </w:p>
        </w:tc>
        <w:tc>
          <w:tcPr>
            <w:tcW w:w="4129" w:type="pct"/>
          </w:tcPr>
          <w:p w:rsidR="00823CBA" w:rsidRPr="00F20E3A" w:rsidRDefault="00823CBA" w:rsidP="002F1ED8">
            <w:pPr>
              <w:rPr>
                <w:b/>
                <w:sz w:val="24"/>
                <w:szCs w:val="24"/>
              </w:rPr>
            </w:pPr>
            <w:r w:rsidRPr="00F20E3A">
              <w:rPr>
                <w:b/>
                <w:sz w:val="24"/>
                <w:szCs w:val="24"/>
              </w:rPr>
              <w:t>Meaning</w:t>
            </w:r>
          </w:p>
        </w:tc>
      </w:tr>
      <w:tr w:rsidR="00823CBA" w:rsidTr="00F20E3A">
        <w:trPr>
          <w:cantSplit/>
        </w:trPr>
        <w:tc>
          <w:tcPr>
            <w:tcW w:w="871" w:type="pct"/>
          </w:tcPr>
          <w:p w:rsidR="00823CBA" w:rsidRDefault="00823CBA" w:rsidP="002F1ED8"/>
        </w:tc>
        <w:tc>
          <w:tcPr>
            <w:tcW w:w="4129" w:type="pct"/>
          </w:tcPr>
          <w:p w:rsidR="00823CBA" w:rsidRDefault="00823CBA" w:rsidP="002F1ED8"/>
        </w:tc>
      </w:tr>
      <w:tr w:rsidR="00823CBA" w:rsidTr="00F20E3A">
        <w:trPr>
          <w:cantSplit/>
        </w:trPr>
        <w:tc>
          <w:tcPr>
            <w:tcW w:w="871" w:type="pct"/>
          </w:tcPr>
          <w:p w:rsidR="00823CBA" w:rsidRDefault="00823CBA" w:rsidP="002F1ED8">
            <w:r>
              <w:t>APM</w:t>
            </w:r>
          </w:p>
        </w:tc>
        <w:tc>
          <w:tcPr>
            <w:tcW w:w="4129" w:type="pct"/>
          </w:tcPr>
          <w:p w:rsidR="00823CBA" w:rsidRDefault="00823CBA" w:rsidP="002F1ED8">
            <w:r>
              <w:t xml:space="preserve">Alternative Payment Method – alternative to payment by card e.g. </w:t>
            </w:r>
            <w:proofErr w:type="spellStart"/>
            <w:r>
              <w:t>Paypal</w:t>
            </w:r>
            <w:proofErr w:type="spellEnd"/>
            <w:r>
              <w:t xml:space="preserve">, Direct Debit, </w:t>
            </w:r>
            <w:proofErr w:type="spellStart"/>
            <w:r>
              <w:t>iDeal</w:t>
            </w:r>
            <w:proofErr w:type="spellEnd"/>
            <w:r>
              <w:t xml:space="preserve">, Open Banking </w:t>
            </w:r>
          </w:p>
        </w:tc>
      </w:tr>
      <w:tr w:rsidR="00823CBA" w:rsidTr="00F20E3A">
        <w:trPr>
          <w:cantSplit/>
        </w:trPr>
        <w:tc>
          <w:tcPr>
            <w:tcW w:w="871" w:type="pct"/>
          </w:tcPr>
          <w:p w:rsidR="00823CBA" w:rsidRDefault="00823CBA" w:rsidP="002F1ED8">
            <w:r>
              <w:t>Acquirer</w:t>
            </w:r>
          </w:p>
        </w:tc>
        <w:tc>
          <w:tcPr>
            <w:tcW w:w="4129" w:type="pct"/>
          </w:tcPr>
          <w:p w:rsidR="00823CBA" w:rsidRDefault="00823CBA" w:rsidP="002F1ED8">
            <w:r>
              <w:t>A regulated and authorised financial institution that processes credit and debit card Authorisations (qv) and transactions on behalf of a merchant including full Card Scheme (qv) members and Payment Facilitators or equivalent (which are supported by a Payment Institu</w:t>
            </w:r>
            <w:bookmarkStart w:id="2" w:name="_GoBack"/>
            <w:bookmarkEnd w:id="2"/>
            <w:r>
              <w:t>tion)</w:t>
            </w:r>
          </w:p>
        </w:tc>
      </w:tr>
      <w:tr w:rsidR="00823CBA" w:rsidTr="00F20E3A">
        <w:trPr>
          <w:cantSplit/>
        </w:trPr>
        <w:tc>
          <w:tcPr>
            <w:tcW w:w="871" w:type="pct"/>
          </w:tcPr>
          <w:p w:rsidR="00823CBA" w:rsidRDefault="00823CBA" w:rsidP="002F1ED8">
            <w:r>
              <w:t>Authorisation</w:t>
            </w:r>
          </w:p>
        </w:tc>
        <w:tc>
          <w:tcPr>
            <w:tcW w:w="4129" w:type="pct"/>
          </w:tcPr>
          <w:p w:rsidR="00823CBA" w:rsidRDefault="00823CBA" w:rsidP="002F1ED8">
            <w:r>
              <w:t xml:space="preserve">Method of a </w:t>
            </w:r>
            <w:r>
              <w:rPr>
                <w:sz w:val="18"/>
                <w:szCs w:val="18"/>
              </w:rPr>
              <w:t>merchant</w:t>
            </w:r>
            <w:r>
              <w:t xml:space="preserve"> checking with the payer’s account provider, usually via intermediate entities, that they have sufficient funds or line of credit to purchase the goods or services, and that the funds are allocated to the transaction </w:t>
            </w:r>
          </w:p>
        </w:tc>
      </w:tr>
      <w:tr w:rsidR="00823CBA" w:rsidTr="00F20E3A">
        <w:trPr>
          <w:cantSplit/>
        </w:trPr>
        <w:tc>
          <w:tcPr>
            <w:tcW w:w="871" w:type="pct"/>
          </w:tcPr>
          <w:p w:rsidR="00823CBA" w:rsidRDefault="00823CBA" w:rsidP="002F1ED8">
            <w:r>
              <w:t>Blended pricing</w:t>
            </w:r>
          </w:p>
        </w:tc>
        <w:tc>
          <w:tcPr>
            <w:tcW w:w="4129" w:type="pct"/>
          </w:tcPr>
          <w:p w:rsidR="00823CBA" w:rsidRDefault="00823CBA" w:rsidP="002F1ED8">
            <w:r>
              <w:t xml:space="preserve">Where the price charged to a merchant for card transactions is aggregated into a single (or a few) rates and which hides the complexity of Interchange++ pricing (qv)  </w:t>
            </w:r>
          </w:p>
        </w:tc>
      </w:tr>
      <w:tr w:rsidR="00823CBA" w:rsidTr="00F20E3A">
        <w:trPr>
          <w:cantSplit/>
        </w:trPr>
        <w:tc>
          <w:tcPr>
            <w:tcW w:w="871" w:type="pct"/>
          </w:tcPr>
          <w:p w:rsidR="00823CBA" w:rsidRDefault="00823CBA" w:rsidP="002F1ED8">
            <w:r>
              <w:t>Card scheme(s)</w:t>
            </w:r>
          </w:p>
        </w:tc>
        <w:tc>
          <w:tcPr>
            <w:tcW w:w="4129" w:type="pct"/>
          </w:tcPr>
          <w:p w:rsidR="00823CBA" w:rsidRDefault="00823CBA" w:rsidP="002F1ED8">
            <w:r>
              <w:t xml:space="preserve">Are payment networks (e.g. Mastercard or Visa) linked to </w:t>
            </w:r>
            <w:hyperlink r:id="rId8">
              <w:r>
                <w:t>payment cards</w:t>
              </w:r>
            </w:hyperlink>
            <w:r>
              <w:t xml:space="preserve">, such as debit or credit cards, of which a </w:t>
            </w:r>
            <w:hyperlink r:id="rId9">
              <w:r>
                <w:t>bank</w:t>
              </w:r>
            </w:hyperlink>
            <w:r>
              <w:t xml:space="preserve"> or any other eligible </w:t>
            </w:r>
            <w:hyperlink r:id="rId10">
              <w:r>
                <w:t>financial institution</w:t>
              </w:r>
            </w:hyperlink>
            <w:r>
              <w:t xml:space="preserve"> can become a member and by becoming a member of the scheme, the member then gets the possibility to Issue (an Issuer qv) or </w:t>
            </w:r>
            <w:hyperlink r:id="rId11">
              <w:r>
                <w:t>acquire</w:t>
              </w:r>
            </w:hyperlink>
            <w:r>
              <w:t xml:space="preserve"> (an Acquirer, qv) cards operating on the network of that card scheme which may be international in scope or limited to various sub-international jurisdictions and card schemes will levy fees for their services (not being charities)</w:t>
            </w:r>
          </w:p>
        </w:tc>
      </w:tr>
      <w:tr w:rsidR="00823CBA" w:rsidTr="00F20E3A">
        <w:trPr>
          <w:cantSplit/>
        </w:trPr>
        <w:tc>
          <w:tcPr>
            <w:tcW w:w="871" w:type="pct"/>
          </w:tcPr>
          <w:p w:rsidR="00823CBA" w:rsidRDefault="00823CBA" w:rsidP="002F1ED8">
            <w:r>
              <w:t>Cardholder Not Present (CNP)</w:t>
            </w:r>
          </w:p>
        </w:tc>
        <w:tc>
          <w:tcPr>
            <w:tcW w:w="4129" w:type="pct"/>
          </w:tcPr>
          <w:p w:rsidR="00823CBA" w:rsidRDefault="00823CBA" w:rsidP="002F1ED8">
            <w:r>
              <w:t>A remote card-not-present (also cardholder-not-present) purchase type (or other e.g., refund) transaction (remote purchase CNP) is one where the cardholder and the card are not present at the point-of-sale for example where the point-of-sale is the merchant’s eCommerce website. Also applies to APMs (qv)</w:t>
            </w:r>
          </w:p>
        </w:tc>
      </w:tr>
      <w:tr w:rsidR="00823CBA" w:rsidTr="00F20E3A">
        <w:trPr>
          <w:cantSplit/>
        </w:trPr>
        <w:tc>
          <w:tcPr>
            <w:tcW w:w="871" w:type="pct"/>
          </w:tcPr>
          <w:p w:rsidR="00823CBA" w:rsidRDefault="00823CBA" w:rsidP="002F1ED8">
            <w:r>
              <w:t>Cardholder Present (CP)</w:t>
            </w:r>
          </w:p>
        </w:tc>
        <w:tc>
          <w:tcPr>
            <w:tcW w:w="4129" w:type="pct"/>
          </w:tcPr>
          <w:p w:rsidR="00823CBA" w:rsidRDefault="00823CBA" w:rsidP="002F1ED8">
            <w:r>
              <w:t xml:space="preserve">A card present (also cardholder present) purchase type (or other e.g. refund) transaction (CP) is one where the cardholder and the card are present at the point-of-sale </w:t>
            </w:r>
          </w:p>
        </w:tc>
      </w:tr>
      <w:tr w:rsidR="00823CBA" w:rsidTr="00F20E3A">
        <w:trPr>
          <w:cantSplit/>
        </w:trPr>
        <w:tc>
          <w:tcPr>
            <w:tcW w:w="871" w:type="pct"/>
          </w:tcPr>
          <w:p w:rsidR="00823CBA" w:rsidRDefault="00823CBA" w:rsidP="002F1ED8">
            <w:r>
              <w:t>Clearing</w:t>
            </w:r>
          </w:p>
        </w:tc>
        <w:tc>
          <w:tcPr>
            <w:tcW w:w="4129" w:type="pct"/>
          </w:tcPr>
          <w:p w:rsidR="00823CBA" w:rsidRDefault="00823CBA" w:rsidP="002F1ED8">
            <w:r>
              <w:t>Method of a merchant (or intermediate entities) presenting a request for payment, usually via intermediate entities, from the payer’s account provider in settlement of the debt incurred when a payer purchases goods or services, often following a successful Authorisation(qv)</w:t>
            </w:r>
          </w:p>
        </w:tc>
      </w:tr>
      <w:tr w:rsidR="00823CBA" w:rsidTr="00F20E3A">
        <w:trPr>
          <w:cantSplit/>
        </w:trPr>
        <w:tc>
          <w:tcPr>
            <w:tcW w:w="871" w:type="pct"/>
          </w:tcPr>
          <w:p w:rsidR="00823CBA" w:rsidRDefault="00823CBA" w:rsidP="002F1ED8">
            <w:r>
              <w:t>CSC</w:t>
            </w:r>
          </w:p>
        </w:tc>
        <w:tc>
          <w:tcPr>
            <w:tcW w:w="4129" w:type="pct"/>
          </w:tcPr>
          <w:p w:rsidR="00823CBA" w:rsidRDefault="00823CBA" w:rsidP="002F1ED8">
            <w:pPr>
              <w:rPr>
                <w:highlight w:val="yellow"/>
              </w:rPr>
            </w:pPr>
            <w:r>
              <w:t>Card Security Code (the 3 or 4 digits on a card) that appear on a card (front or back) that a merchant often requires a cardholder to quote or input when making a purchase by card and this is code is also known variously as CID, CVC2, CVD, CVE, CVN2 and CVV2,</w:t>
            </w:r>
            <w:r>
              <w:rPr>
                <w:highlight w:val="yellow"/>
              </w:rPr>
              <w:t xml:space="preserve"> but not, repeat no, CVV </w:t>
            </w:r>
          </w:p>
        </w:tc>
      </w:tr>
      <w:tr w:rsidR="00823CBA" w:rsidTr="00F20E3A">
        <w:trPr>
          <w:cantSplit/>
        </w:trPr>
        <w:tc>
          <w:tcPr>
            <w:tcW w:w="871" w:type="pct"/>
          </w:tcPr>
          <w:p w:rsidR="00823CBA" w:rsidRDefault="00823CBA" w:rsidP="002F1ED8">
            <w:r>
              <w:t>DCC</w:t>
            </w:r>
          </w:p>
        </w:tc>
        <w:tc>
          <w:tcPr>
            <w:tcW w:w="4129" w:type="pct"/>
          </w:tcPr>
          <w:p w:rsidR="00823CBA" w:rsidRDefault="00823CBA" w:rsidP="002F1ED8">
            <w:r>
              <w:t xml:space="preserve">Direct Currency Conversion is a method where a cardholder using a card with a normal currency of Eur (example ONLY) purchasing goods or services denominated in GBP (qv) (example ONLY) will be offered an opportunity to complete the sale in Sterling and this process applies to many </w:t>
            </w:r>
            <w:proofErr w:type="gramStart"/>
            <w:r>
              <w:t>cross currency</w:t>
            </w:r>
            <w:proofErr w:type="gramEnd"/>
            <w:r>
              <w:t xml:space="preserve"> sales and cards  </w:t>
            </w:r>
          </w:p>
        </w:tc>
      </w:tr>
      <w:tr w:rsidR="00823CBA" w:rsidTr="00F20E3A">
        <w:trPr>
          <w:cantSplit/>
        </w:trPr>
        <w:tc>
          <w:tcPr>
            <w:tcW w:w="871" w:type="pct"/>
          </w:tcPr>
          <w:p w:rsidR="00823CBA" w:rsidRDefault="00823CBA" w:rsidP="002F1ED8">
            <w:r>
              <w:t>Dispute Process</w:t>
            </w:r>
          </w:p>
        </w:tc>
        <w:tc>
          <w:tcPr>
            <w:tcW w:w="4129" w:type="pct"/>
          </w:tcPr>
          <w:p w:rsidR="00823CBA" w:rsidRDefault="00823CBA" w:rsidP="002F1ED8">
            <w:r>
              <w:t>The semi-automated process of managing disputes between Issuers (qv) generally on behalf of account holders and Acquirers (qv)</w:t>
            </w:r>
          </w:p>
        </w:tc>
      </w:tr>
      <w:tr w:rsidR="00823CBA" w:rsidTr="00F20E3A">
        <w:trPr>
          <w:cantSplit/>
        </w:trPr>
        <w:tc>
          <w:tcPr>
            <w:tcW w:w="871" w:type="pct"/>
          </w:tcPr>
          <w:p w:rsidR="00823CBA" w:rsidRDefault="00823CBA" w:rsidP="00F20E3A">
            <w:pPr>
              <w:pBdr>
                <w:top w:val="none" w:sz="0" w:space="7" w:color="auto"/>
                <w:bottom w:val="none" w:sz="0" w:space="7" w:color="auto"/>
                <w:between w:val="none" w:sz="0" w:space="7" w:color="auto"/>
              </w:pBdr>
              <w:rPr>
                <w:sz w:val="26"/>
                <w:szCs w:val="26"/>
              </w:rPr>
            </w:pPr>
            <w:bookmarkStart w:id="3" w:name="_heading=h.uda2oyprm1ce" w:colFirst="0" w:colLast="0"/>
            <w:bookmarkEnd w:id="3"/>
            <w:r>
              <w:t>Electronic point of Sale System (EPOS</w:t>
            </w:r>
            <w:r w:rsidRPr="00F20E3A">
              <w:t>)</w:t>
            </w:r>
          </w:p>
        </w:tc>
        <w:tc>
          <w:tcPr>
            <w:tcW w:w="4129" w:type="pct"/>
          </w:tcPr>
          <w:p w:rsidR="00823CBA" w:rsidRDefault="00823CBA" w:rsidP="002F1ED8">
            <w:r>
              <w:t xml:space="preserve">A hardware or software system that enables Merchants to take card present transactions including POS devices. </w:t>
            </w:r>
          </w:p>
        </w:tc>
      </w:tr>
      <w:tr w:rsidR="00823CBA" w:rsidTr="00F20E3A">
        <w:trPr>
          <w:cantSplit/>
        </w:trPr>
        <w:tc>
          <w:tcPr>
            <w:tcW w:w="871" w:type="pct"/>
          </w:tcPr>
          <w:p w:rsidR="00823CBA" w:rsidRDefault="00823CBA" w:rsidP="002F1ED8">
            <w:r>
              <w:t>Dual messaging</w:t>
            </w:r>
          </w:p>
        </w:tc>
        <w:tc>
          <w:tcPr>
            <w:tcW w:w="4129" w:type="pct"/>
          </w:tcPr>
          <w:p w:rsidR="00823CBA" w:rsidRDefault="00823CBA" w:rsidP="002F1ED8">
            <w:r>
              <w:t xml:space="preserve">A payment transaction that is split into two, namely an Authorisation (qv) and a Clearing (qv) although the Authorisation is not mandatory but without this certainty of Settlement (qv) is not guaranteed </w:t>
            </w:r>
          </w:p>
        </w:tc>
      </w:tr>
      <w:tr w:rsidR="00823CBA" w:rsidTr="00F20E3A">
        <w:trPr>
          <w:cantSplit/>
        </w:trPr>
        <w:tc>
          <w:tcPr>
            <w:tcW w:w="871" w:type="pct"/>
          </w:tcPr>
          <w:p w:rsidR="00823CBA" w:rsidRDefault="00823CBA" w:rsidP="002F1ED8">
            <w:r>
              <w:t>Fraud Prevention Provider</w:t>
            </w:r>
          </w:p>
        </w:tc>
        <w:tc>
          <w:tcPr>
            <w:tcW w:w="4129" w:type="pct"/>
          </w:tcPr>
          <w:p w:rsidR="00823CBA" w:rsidRDefault="00823CBA" w:rsidP="002F1ED8">
            <w:r>
              <w:t xml:space="preserve">An entity that attempts to eliminate fraudulent payments acting on behalf of a merchant, Merchant Card Acquiring Service, Acquirer or Issuer or APM provider (and may be an integral part of those entities) by accumulating information about payment activity based on card activity and cardholder activity </w:t>
            </w:r>
          </w:p>
        </w:tc>
      </w:tr>
      <w:tr w:rsidR="00823CBA" w:rsidTr="00F20E3A">
        <w:trPr>
          <w:cantSplit/>
        </w:trPr>
        <w:tc>
          <w:tcPr>
            <w:tcW w:w="871" w:type="pct"/>
          </w:tcPr>
          <w:p w:rsidR="00823CBA" w:rsidRDefault="00823CBA" w:rsidP="002F1ED8">
            <w:r>
              <w:t>GBP</w:t>
            </w:r>
          </w:p>
        </w:tc>
        <w:tc>
          <w:tcPr>
            <w:tcW w:w="4129" w:type="pct"/>
          </w:tcPr>
          <w:p w:rsidR="00823CBA" w:rsidRDefault="00823CBA" w:rsidP="002F1ED8">
            <w:r>
              <w:t xml:space="preserve">Standard currency code for UK Sterling </w:t>
            </w:r>
          </w:p>
        </w:tc>
      </w:tr>
      <w:tr w:rsidR="00823CBA" w:rsidTr="00F20E3A">
        <w:trPr>
          <w:cantSplit/>
        </w:trPr>
        <w:tc>
          <w:tcPr>
            <w:tcW w:w="871" w:type="pct"/>
          </w:tcPr>
          <w:p w:rsidR="00823CBA" w:rsidRDefault="00823CBA" w:rsidP="002F1ED8">
            <w:r>
              <w:lastRenderedPageBreak/>
              <w:t>HTTPS</w:t>
            </w:r>
          </w:p>
        </w:tc>
        <w:tc>
          <w:tcPr>
            <w:tcW w:w="4129" w:type="pct"/>
          </w:tcPr>
          <w:p w:rsidR="00823CBA" w:rsidRDefault="00823CBA" w:rsidP="002F1ED8">
            <w:r>
              <w:t>Hypertext Transfer Protocol Secure is an extension of the Hypertext Transfer Protocol for secure communication over a computer network, and is widely used on the Internet and communication protocol is encrypted using Transport Layer Security (TLS qv)</w:t>
            </w:r>
          </w:p>
        </w:tc>
      </w:tr>
      <w:tr w:rsidR="00823CBA" w:rsidTr="00F20E3A">
        <w:trPr>
          <w:cantSplit/>
        </w:trPr>
        <w:tc>
          <w:tcPr>
            <w:tcW w:w="871" w:type="pct"/>
          </w:tcPr>
          <w:p w:rsidR="00823CBA" w:rsidRDefault="00823CBA" w:rsidP="002F1ED8">
            <w:r>
              <w:t>IIN (BIN)</w:t>
            </w:r>
          </w:p>
        </w:tc>
        <w:tc>
          <w:tcPr>
            <w:tcW w:w="4129" w:type="pct"/>
          </w:tcPr>
          <w:p w:rsidR="00823CBA" w:rsidRDefault="00823CBA" w:rsidP="002F1ED8">
            <w:r>
              <w:t>The Issuer Identification Number is the first six digits of a PAN (qv) and is also known as a BIN (Bank Identification Number)</w:t>
            </w:r>
          </w:p>
        </w:tc>
      </w:tr>
      <w:tr w:rsidR="00823CBA" w:rsidTr="00F20E3A">
        <w:trPr>
          <w:cantSplit/>
        </w:trPr>
        <w:tc>
          <w:tcPr>
            <w:tcW w:w="871" w:type="pct"/>
          </w:tcPr>
          <w:p w:rsidR="00823CBA" w:rsidRDefault="00823CBA" w:rsidP="002F1ED8">
            <w:r>
              <w:t>Interchange ++ pricing</w:t>
            </w:r>
          </w:p>
        </w:tc>
        <w:tc>
          <w:tcPr>
            <w:tcW w:w="4129" w:type="pct"/>
          </w:tcPr>
          <w:p w:rsidR="00823CBA" w:rsidRDefault="00823CBA" w:rsidP="00F20E3A">
            <w:pPr>
              <w:pBdr>
                <w:top w:val="none" w:sz="0" w:space="7" w:color="auto"/>
                <w:bottom w:val="none" w:sz="0" w:space="7" w:color="auto"/>
                <w:between w:val="none" w:sz="0" w:space="7" w:color="auto"/>
              </w:pBdr>
              <w:rPr>
                <w:sz w:val="26"/>
                <w:szCs w:val="26"/>
              </w:rPr>
            </w:pPr>
            <w:bookmarkStart w:id="4" w:name="_heading=h.ntg6qfdnripp" w:colFirst="0" w:colLast="0"/>
            <w:bookmarkEnd w:id="4"/>
            <w:r>
              <w:t>A pricing model whereby the Acquirer shows the Merchant Service Charge (MSC) broken down into three components: interchange fees, processing charges, and card network scheme fees.</w:t>
            </w:r>
          </w:p>
        </w:tc>
      </w:tr>
      <w:tr w:rsidR="00823CBA" w:rsidTr="00F20E3A">
        <w:trPr>
          <w:cantSplit/>
        </w:trPr>
        <w:tc>
          <w:tcPr>
            <w:tcW w:w="871" w:type="pct"/>
          </w:tcPr>
          <w:p w:rsidR="00823CBA" w:rsidRDefault="00823CBA" w:rsidP="002F1ED8">
            <w:r>
              <w:t>Issuer</w:t>
            </w:r>
          </w:p>
        </w:tc>
        <w:tc>
          <w:tcPr>
            <w:tcW w:w="4129" w:type="pct"/>
          </w:tcPr>
          <w:p w:rsidR="00823CBA" w:rsidRDefault="00823CBA" w:rsidP="002F1ED8">
            <w:r>
              <w:t xml:space="preserve">A regulated and authorised financial institution that provides credit and debit card account on behalf of a card holder </w:t>
            </w:r>
          </w:p>
        </w:tc>
      </w:tr>
      <w:tr w:rsidR="00823CBA" w:rsidTr="00F20E3A">
        <w:trPr>
          <w:cantSplit/>
        </w:trPr>
        <w:tc>
          <w:tcPr>
            <w:tcW w:w="871" w:type="pct"/>
          </w:tcPr>
          <w:p w:rsidR="00823CBA" w:rsidRDefault="00823CBA" w:rsidP="002F1ED8">
            <w:r>
              <w:t>Merchant Card Acquiring Service</w:t>
            </w:r>
          </w:p>
        </w:tc>
        <w:tc>
          <w:tcPr>
            <w:tcW w:w="4129" w:type="pct"/>
          </w:tcPr>
          <w:p w:rsidR="00823CBA" w:rsidRDefault="00823CBA" w:rsidP="002F1ED8">
            <w:r>
              <w:t>An entity that provides an interface to Acquirer (qv) and which may itself be an Acquirer</w:t>
            </w:r>
          </w:p>
        </w:tc>
      </w:tr>
      <w:tr w:rsidR="00823CBA" w:rsidTr="00F20E3A">
        <w:trPr>
          <w:cantSplit/>
        </w:trPr>
        <w:tc>
          <w:tcPr>
            <w:tcW w:w="871" w:type="pct"/>
          </w:tcPr>
          <w:p w:rsidR="00823CBA" w:rsidRDefault="00823CBA" w:rsidP="002F1ED8">
            <w:r>
              <w:t>Merchant Card Acquiring Equipment</w:t>
            </w:r>
          </w:p>
        </w:tc>
        <w:tc>
          <w:tcPr>
            <w:tcW w:w="4129" w:type="pct"/>
          </w:tcPr>
          <w:p w:rsidR="00823CBA" w:rsidRDefault="00823CBA" w:rsidP="002F1ED8">
            <w:r>
              <w:t>Equipment that is capable of interfacing payment cards through insertion or non-contact whether in physical or dematerialised form (e.g. payment cards details stored in smart phones) and with relevant payment details e.g. amount to intermediate entities (generally Payment Gateways, qv) and thus to process Authorisations (qv) and Clearing (qv) via intermediate entities and displaying the result to the merchant and the payer</w:t>
            </w:r>
          </w:p>
        </w:tc>
      </w:tr>
      <w:tr w:rsidR="00823CBA" w:rsidTr="00F20E3A">
        <w:trPr>
          <w:cantSplit/>
        </w:trPr>
        <w:tc>
          <w:tcPr>
            <w:tcW w:w="871" w:type="pct"/>
          </w:tcPr>
          <w:p w:rsidR="00823CBA" w:rsidRDefault="00823CBA" w:rsidP="002F1ED8">
            <w:r>
              <w:t>Merchant Service Charge</w:t>
            </w:r>
          </w:p>
        </w:tc>
        <w:tc>
          <w:tcPr>
            <w:tcW w:w="4129" w:type="pct"/>
          </w:tcPr>
          <w:p w:rsidR="00823CBA" w:rsidRDefault="00823CBA" w:rsidP="002F1ED8">
            <w:r>
              <w:t>The total charges payable by a Merchant to a Supplier for the Card Acquiring Service</w:t>
            </w:r>
          </w:p>
        </w:tc>
      </w:tr>
      <w:tr w:rsidR="00823CBA" w:rsidTr="00F20E3A">
        <w:trPr>
          <w:cantSplit/>
        </w:trPr>
        <w:tc>
          <w:tcPr>
            <w:tcW w:w="871" w:type="pct"/>
          </w:tcPr>
          <w:p w:rsidR="00823CBA" w:rsidRDefault="00823CBA" w:rsidP="002F1ED8">
            <w:r>
              <w:t>Merchant ID Number (MID)</w:t>
            </w:r>
          </w:p>
        </w:tc>
        <w:tc>
          <w:tcPr>
            <w:tcW w:w="4129" w:type="pct"/>
          </w:tcPr>
          <w:p w:rsidR="00823CBA" w:rsidRDefault="00823CBA" w:rsidP="002F1ED8">
            <w:r>
              <w:t xml:space="preserve">Merchant Identity which identifies a merchant in processing payments and can apply to the top level of a merchant or at many different subordinate levels e.g. branch level   </w:t>
            </w:r>
          </w:p>
        </w:tc>
      </w:tr>
      <w:tr w:rsidR="00823CBA" w:rsidTr="00F20E3A">
        <w:trPr>
          <w:cantSplit/>
        </w:trPr>
        <w:tc>
          <w:tcPr>
            <w:tcW w:w="871" w:type="pct"/>
          </w:tcPr>
          <w:p w:rsidR="00823CBA" w:rsidRDefault="00823CBA" w:rsidP="002F1ED8">
            <w:r>
              <w:t>MPLS</w:t>
            </w:r>
          </w:p>
        </w:tc>
        <w:tc>
          <w:tcPr>
            <w:tcW w:w="4129" w:type="pct"/>
          </w:tcPr>
          <w:p w:rsidR="00823CBA" w:rsidRDefault="00823CBA" w:rsidP="002F1ED8">
            <w:r>
              <w:t>Multiprotocol Label Switching is a routing technique in telecommunications networks that directs data from one node to the next based on short path labels rather than long network addresses, thus avoiding complex lookups in a routing table and speeding traffic flows</w:t>
            </w:r>
          </w:p>
        </w:tc>
      </w:tr>
      <w:tr w:rsidR="00823CBA" w:rsidTr="00F20E3A">
        <w:trPr>
          <w:cantSplit/>
        </w:trPr>
        <w:tc>
          <w:tcPr>
            <w:tcW w:w="871" w:type="pct"/>
          </w:tcPr>
          <w:p w:rsidR="00823CBA" w:rsidRDefault="00823CBA" w:rsidP="002F1ED8">
            <w:r>
              <w:t>PAN</w:t>
            </w:r>
          </w:p>
        </w:tc>
        <w:tc>
          <w:tcPr>
            <w:tcW w:w="4129" w:type="pct"/>
          </w:tcPr>
          <w:p w:rsidR="00823CBA" w:rsidRDefault="00823CBA" w:rsidP="002F1ED8">
            <w:r>
              <w:t>A payment card number, primary account number (PAN), or simply a card number, is the card identifier found on payment cards, such as credit cards and debit cards and has a standardised range of 10 (rare 13 is usually given and 16 is most common) to 19 digits</w:t>
            </w:r>
          </w:p>
        </w:tc>
      </w:tr>
      <w:tr w:rsidR="00823CBA" w:rsidTr="00F20E3A">
        <w:trPr>
          <w:cantSplit/>
        </w:trPr>
        <w:tc>
          <w:tcPr>
            <w:tcW w:w="871" w:type="pct"/>
          </w:tcPr>
          <w:p w:rsidR="00823CBA" w:rsidRDefault="00823CBA" w:rsidP="002F1ED8">
            <w:r>
              <w:t>PAR</w:t>
            </w:r>
          </w:p>
        </w:tc>
        <w:tc>
          <w:tcPr>
            <w:tcW w:w="4129" w:type="pct"/>
          </w:tcPr>
          <w:p w:rsidR="00823CBA" w:rsidRDefault="00823CBA" w:rsidP="002F1ED8">
            <w:r>
              <w:t>Payment Account Reference is a single reference that is a superior value that sits above multiple Token (qv) values for the same PAN (qv)</w:t>
            </w:r>
          </w:p>
        </w:tc>
      </w:tr>
      <w:tr w:rsidR="00823CBA" w:rsidTr="00F20E3A">
        <w:trPr>
          <w:cantSplit/>
        </w:trPr>
        <w:tc>
          <w:tcPr>
            <w:tcW w:w="871" w:type="pct"/>
          </w:tcPr>
          <w:p w:rsidR="00823CBA" w:rsidRDefault="00823CBA" w:rsidP="002F1ED8">
            <w:r>
              <w:t>Payment Facilitator</w:t>
            </w:r>
          </w:p>
        </w:tc>
        <w:tc>
          <w:tcPr>
            <w:tcW w:w="4129" w:type="pct"/>
          </w:tcPr>
          <w:p w:rsidR="00823CBA" w:rsidRDefault="00823CBA" w:rsidP="002F1ED8">
            <w:r>
              <w:t>A regulated and authorised entity performing Merchant Card Acquiring Services (qv)</w:t>
            </w:r>
          </w:p>
        </w:tc>
      </w:tr>
      <w:tr w:rsidR="00823CBA" w:rsidTr="00F20E3A">
        <w:trPr>
          <w:cantSplit/>
        </w:trPr>
        <w:tc>
          <w:tcPr>
            <w:tcW w:w="871" w:type="pct"/>
          </w:tcPr>
          <w:p w:rsidR="00823CBA" w:rsidRDefault="00823CBA" w:rsidP="002F1ED8">
            <w:r>
              <w:t>Payment Gateway</w:t>
            </w:r>
          </w:p>
        </w:tc>
        <w:tc>
          <w:tcPr>
            <w:tcW w:w="4129" w:type="pct"/>
          </w:tcPr>
          <w:p w:rsidR="00823CBA" w:rsidRDefault="00823CBA" w:rsidP="002F1ED8">
            <w:r>
              <w:t xml:space="preserve">An entity that sits between merchants (and Merchant Card Acquiring Equipment (qv)) and provides intermediate service for merchants including but not limited to authorisations and clearing to Acquirers (qv) and providers of APMs (qv) and will process Cardholder Not Present (qv) and Cardholder Present (qv) transactions  </w:t>
            </w:r>
          </w:p>
          <w:p w:rsidR="00823CBA" w:rsidRDefault="00823CBA" w:rsidP="002F1ED8"/>
          <w:p w:rsidR="00823CBA" w:rsidRDefault="00823CBA" w:rsidP="002F1ED8">
            <w:pPr>
              <w:rPr>
                <w:highlight w:val="yellow"/>
              </w:rPr>
            </w:pPr>
            <w:r>
              <w:t>S</w:t>
            </w:r>
            <w:r>
              <w:rPr>
                <w:highlight w:val="yellow"/>
              </w:rPr>
              <w:t>oftware and servers that enable a merchant to accept payments. Payment gateways securely collect and transmit transaction information to the Merchant Acquirer and send responses from card issuers such as approving or declining transactions</w:t>
            </w:r>
          </w:p>
        </w:tc>
      </w:tr>
      <w:tr w:rsidR="00823CBA" w:rsidTr="00F20E3A">
        <w:trPr>
          <w:cantSplit/>
        </w:trPr>
        <w:tc>
          <w:tcPr>
            <w:tcW w:w="871" w:type="pct"/>
          </w:tcPr>
          <w:p w:rsidR="00823CBA" w:rsidRDefault="00823CBA" w:rsidP="002F1ED8">
            <w:r>
              <w:t>PCI-DSS</w:t>
            </w:r>
          </w:p>
        </w:tc>
        <w:tc>
          <w:tcPr>
            <w:tcW w:w="4129" w:type="pct"/>
          </w:tcPr>
          <w:p w:rsidR="00823CBA" w:rsidRDefault="00823CBA" w:rsidP="002F1ED8">
            <w:r>
              <w:t>The Payment Card Industry Data Security Standard (PCI DSS) is a widely accepted set of policies and procedures intended to optimize the security of credit, debit and cash card transactions and protect cardholders against misuse of their personal information</w:t>
            </w:r>
          </w:p>
        </w:tc>
      </w:tr>
      <w:tr w:rsidR="00823CBA" w:rsidTr="00F20E3A">
        <w:trPr>
          <w:cantSplit/>
          <w:trHeight w:val="474"/>
        </w:trPr>
        <w:tc>
          <w:tcPr>
            <w:tcW w:w="871" w:type="pct"/>
          </w:tcPr>
          <w:p w:rsidR="00823CBA" w:rsidRDefault="00823CBA" w:rsidP="002F1ED8">
            <w:r>
              <w:t>PISP</w:t>
            </w:r>
          </w:p>
        </w:tc>
        <w:tc>
          <w:tcPr>
            <w:tcW w:w="4129" w:type="pct"/>
          </w:tcPr>
          <w:p w:rsidR="00823CBA" w:rsidRDefault="00823CBA" w:rsidP="002F1ED8">
            <w:r>
              <w:t>Payment Initiation Service Processor is a regulated and authorised service provider capable of securely initiating a payment on behalf of the payer from an account provider with payment direct to a merchant rather than depending on the infrastructure of payment cards and card schemes</w:t>
            </w:r>
          </w:p>
        </w:tc>
      </w:tr>
      <w:tr w:rsidR="00823CBA" w:rsidTr="00F20E3A">
        <w:trPr>
          <w:cantSplit/>
        </w:trPr>
        <w:tc>
          <w:tcPr>
            <w:tcW w:w="871" w:type="pct"/>
          </w:tcPr>
          <w:p w:rsidR="00823CBA" w:rsidRDefault="00823CBA" w:rsidP="002F1ED8">
            <w:proofErr w:type="spellStart"/>
            <w:r>
              <w:t>Stong</w:t>
            </w:r>
            <w:proofErr w:type="spellEnd"/>
            <w:r>
              <w:t xml:space="preserve"> Customer Authentication (SCA)</w:t>
            </w:r>
          </w:p>
        </w:tc>
        <w:tc>
          <w:tcPr>
            <w:tcW w:w="4129" w:type="pct"/>
          </w:tcPr>
          <w:p w:rsidR="00823CBA" w:rsidRDefault="00823CBA" w:rsidP="002F1ED8">
            <w:r>
              <w:t>a two-factor authentication process required for online payments and banking transactions within the European Economic Area (EEA) under the Payment Services Directive 2 (PDS2) to increase security</w:t>
            </w:r>
          </w:p>
        </w:tc>
      </w:tr>
      <w:tr w:rsidR="00823CBA" w:rsidTr="00F20E3A">
        <w:trPr>
          <w:cantSplit/>
        </w:trPr>
        <w:tc>
          <w:tcPr>
            <w:tcW w:w="871" w:type="pct"/>
          </w:tcPr>
          <w:p w:rsidR="00823CBA" w:rsidRDefault="00823CBA" w:rsidP="002F1ED8">
            <w:r>
              <w:t>Settlement</w:t>
            </w:r>
          </w:p>
        </w:tc>
        <w:tc>
          <w:tcPr>
            <w:tcW w:w="4129" w:type="pct"/>
          </w:tcPr>
          <w:p w:rsidR="00823CBA" w:rsidRDefault="00823CBA" w:rsidP="002F1ED8">
            <w:r>
              <w:t xml:space="preserve">Represents the flow of funds between account providers and merchants often via intermediate entities to reimburse merchants for goods and services bought by payers and can also include funds that represent fees, interchange and refunds and depending on all values funds flow may be bi-directional  </w:t>
            </w:r>
          </w:p>
        </w:tc>
      </w:tr>
      <w:tr w:rsidR="00823CBA" w:rsidTr="00F20E3A">
        <w:trPr>
          <w:cantSplit/>
        </w:trPr>
        <w:tc>
          <w:tcPr>
            <w:tcW w:w="871" w:type="pct"/>
          </w:tcPr>
          <w:p w:rsidR="00823CBA" w:rsidRDefault="00823CBA" w:rsidP="002F1ED8">
            <w:r>
              <w:t>Settlement Day 0, 1, 2</w:t>
            </w:r>
          </w:p>
        </w:tc>
        <w:tc>
          <w:tcPr>
            <w:tcW w:w="4129" w:type="pct"/>
          </w:tcPr>
          <w:p w:rsidR="00823CBA" w:rsidRDefault="00823CBA" w:rsidP="002F1ED8">
            <w:r>
              <w:t xml:space="preserve">The day of Settlement (qv) in relation to the Transaction Day (qv) where 0 represents the Transaction Day (qv) and 1 represents the next day and so forth  </w:t>
            </w:r>
          </w:p>
        </w:tc>
      </w:tr>
      <w:tr w:rsidR="00823CBA" w:rsidTr="00F20E3A">
        <w:trPr>
          <w:cantSplit/>
        </w:trPr>
        <w:tc>
          <w:tcPr>
            <w:tcW w:w="871" w:type="pct"/>
          </w:tcPr>
          <w:p w:rsidR="00823CBA" w:rsidRDefault="00823CBA" w:rsidP="002F1ED8">
            <w:r>
              <w:lastRenderedPageBreak/>
              <w:t>Single messaging</w:t>
            </w:r>
          </w:p>
        </w:tc>
        <w:tc>
          <w:tcPr>
            <w:tcW w:w="4129" w:type="pct"/>
          </w:tcPr>
          <w:p w:rsidR="00823CBA" w:rsidRDefault="00823CBA" w:rsidP="002F1ED8">
            <w:r>
              <w:t>A payment transaction that consists of only one part, namely Clearing (qv) but where the Authorisation (qv) is contained within the Clearing</w:t>
            </w:r>
          </w:p>
        </w:tc>
      </w:tr>
      <w:tr w:rsidR="00823CBA" w:rsidTr="00F20E3A">
        <w:trPr>
          <w:cantSplit/>
        </w:trPr>
        <w:tc>
          <w:tcPr>
            <w:tcW w:w="871" w:type="pct"/>
          </w:tcPr>
          <w:p w:rsidR="00823CBA" w:rsidRDefault="00823CBA" w:rsidP="002F1ED8">
            <w:r>
              <w:t xml:space="preserve">Transaction </w:t>
            </w:r>
          </w:p>
        </w:tc>
        <w:tc>
          <w:tcPr>
            <w:tcW w:w="4129" w:type="pct"/>
          </w:tcPr>
          <w:p w:rsidR="00823CBA" w:rsidRDefault="00823CBA" w:rsidP="002F1ED8">
            <w:r>
              <w:t xml:space="preserve">A complete payment request by a Merchant consisting of an Authorisation (qv), if required, and an entry into Clearing (qv), if required  </w:t>
            </w:r>
          </w:p>
        </w:tc>
      </w:tr>
      <w:tr w:rsidR="00823CBA" w:rsidTr="00F20E3A">
        <w:trPr>
          <w:cantSplit/>
        </w:trPr>
        <w:tc>
          <w:tcPr>
            <w:tcW w:w="871" w:type="pct"/>
          </w:tcPr>
          <w:p w:rsidR="00823CBA" w:rsidRDefault="00823CBA" w:rsidP="002F1ED8">
            <w:r>
              <w:t>Transaction Day</w:t>
            </w:r>
          </w:p>
        </w:tc>
        <w:tc>
          <w:tcPr>
            <w:tcW w:w="4129" w:type="pct"/>
          </w:tcPr>
          <w:p w:rsidR="00823CBA" w:rsidRDefault="00823CBA" w:rsidP="002F1ED8">
            <w:r>
              <w:t>The day when the merchant (and any intermediate entities) signals completion of a transaction so that it may be entered into Clearing (qv) for eventual Settlement (qv)</w:t>
            </w:r>
          </w:p>
        </w:tc>
      </w:tr>
      <w:tr w:rsidR="00823CBA" w:rsidTr="00F20E3A">
        <w:trPr>
          <w:cantSplit/>
        </w:trPr>
        <w:tc>
          <w:tcPr>
            <w:tcW w:w="871" w:type="pct"/>
          </w:tcPr>
          <w:p w:rsidR="00823CBA" w:rsidRDefault="00823CBA" w:rsidP="002F1ED8">
            <w:r>
              <w:t>Token</w:t>
            </w:r>
          </w:p>
        </w:tc>
        <w:tc>
          <w:tcPr>
            <w:tcW w:w="4129" w:type="pct"/>
          </w:tcPr>
          <w:p w:rsidR="00823CBA" w:rsidRDefault="00823CBA" w:rsidP="002F1ED8">
            <w:r>
              <w:t>Produced by at tokenisation process that transforms a PAN into an alternative string of characters and which is meaningless and from which the original PAN cannot be derived to most entities in the payment process although it shall be capable of being turned back into a PAN before application to the payer’s account and maybe other entities in the journey from merchant to account provider such as external fraud checkers</w:t>
            </w:r>
          </w:p>
        </w:tc>
      </w:tr>
      <w:tr w:rsidR="00823CBA" w:rsidTr="00F20E3A">
        <w:trPr>
          <w:cantSplit/>
        </w:trPr>
        <w:tc>
          <w:tcPr>
            <w:tcW w:w="871" w:type="pct"/>
          </w:tcPr>
          <w:p w:rsidR="00823CBA" w:rsidRDefault="00823CBA" w:rsidP="002F1ED8">
            <w:r>
              <w:t>TID</w:t>
            </w:r>
          </w:p>
        </w:tc>
        <w:tc>
          <w:tcPr>
            <w:tcW w:w="4129" w:type="pct"/>
          </w:tcPr>
          <w:p w:rsidR="00823CBA" w:rsidRDefault="00823CBA" w:rsidP="002F1ED8">
            <w:r>
              <w:t xml:space="preserve">Terminal identity is a subordinate entity to a MID (qv) and generally identifies a payment ‘terminal’ which may be physical or logical </w:t>
            </w:r>
          </w:p>
        </w:tc>
      </w:tr>
      <w:tr w:rsidR="00823CBA" w:rsidTr="00F20E3A">
        <w:trPr>
          <w:cantSplit/>
        </w:trPr>
        <w:tc>
          <w:tcPr>
            <w:tcW w:w="871" w:type="pct"/>
          </w:tcPr>
          <w:p w:rsidR="00823CBA" w:rsidRDefault="00823CBA" w:rsidP="002F1ED8">
            <w:r>
              <w:t>TLS</w:t>
            </w:r>
          </w:p>
        </w:tc>
        <w:tc>
          <w:tcPr>
            <w:tcW w:w="4129" w:type="pct"/>
          </w:tcPr>
          <w:p w:rsidR="00823CBA" w:rsidRDefault="00823CBA" w:rsidP="002F1ED8">
            <w:r>
              <w:t>Transport Layer Security is a cryptographic protocol designed to provide communications security over a computer network and is a standard under enhancement as ‘researchers’ discover methods of attacking the security it provides</w:t>
            </w:r>
          </w:p>
        </w:tc>
      </w:tr>
      <w:tr w:rsidR="00823CBA" w:rsidTr="00F20E3A">
        <w:trPr>
          <w:cantSplit/>
        </w:trPr>
        <w:tc>
          <w:tcPr>
            <w:tcW w:w="871" w:type="pct"/>
          </w:tcPr>
          <w:p w:rsidR="00823CBA" w:rsidRDefault="00823CBA" w:rsidP="002F1ED8"/>
        </w:tc>
        <w:tc>
          <w:tcPr>
            <w:tcW w:w="4129" w:type="pct"/>
          </w:tcPr>
          <w:p w:rsidR="00823CBA" w:rsidRDefault="00823CBA" w:rsidP="002F1ED8"/>
        </w:tc>
      </w:tr>
    </w:tbl>
    <w:p w:rsidR="00823CBA" w:rsidRPr="00823CBA" w:rsidRDefault="00823CBA" w:rsidP="00823CBA">
      <w:pPr>
        <w:widowControl w:val="0"/>
        <w:spacing w:after="120" w:line="240" w:lineRule="auto"/>
        <w:jc w:val="both"/>
        <w:rPr>
          <w:rFonts w:ascii="Arial" w:hAnsi="Arial" w:cs="Arial"/>
          <w:color w:val="000000"/>
        </w:rPr>
      </w:pPr>
    </w:p>
    <w:p w:rsidR="000850BE" w:rsidRDefault="000850BE" w:rsidP="006126A6">
      <w:pPr>
        <w:pStyle w:val="GPSL2NumberedBoldHeading"/>
        <w:ind w:left="0" w:firstLine="0"/>
        <w:jc w:val="left"/>
        <w:rPr>
          <w:rFonts w:ascii="Arial" w:hAnsi="Arial"/>
          <w:b w:val="0"/>
          <w:sz w:val="24"/>
          <w:highlight w:val="yellow"/>
        </w:rPr>
      </w:pPr>
    </w:p>
    <w:p w:rsidR="000854B6" w:rsidRDefault="006126A6" w:rsidP="006126A6">
      <w:pPr>
        <w:pStyle w:val="GPSL2NumberedBoldHeading"/>
        <w:ind w:left="0" w:firstLine="0"/>
        <w:jc w:val="left"/>
        <w:rPr>
          <w:rFonts w:ascii="Arial" w:hAnsi="Arial"/>
          <w:b w:val="0"/>
          <w:sz w:val="24"/>
        </w:rPr>
      </w:pPr>
      <w:r w:rsidRPr="000C76ED">
        <w:rPr>
          <w:rFonts w:ascii="Arial" w:hAnsi="Arial"/>
          <w:b w:val="0"/>
          <w:sz w:val="24"/>
          <w:highlight w:val="yellow"/>
        </w:rPr>
        <w:t xml:space="preserve"> </w:t>
      </w:r>
      <w:r w:rsidR="002752A5" w:rsidRPr="000C76ED">
        <w:rPr>
          <w:rFonts w:ascii="Arial" w:hAnsi="Arial"/>
          <w:b w:val="0"/>
          <w:sz w:val="24"/>
          <w:highlight w:val="yellow"/>
        </w:rPr>
        <w:t>[</w:t>
      </w:r>
      <w:r w:rsidR="000C76ED" w:rsidRPr="000C76ED">
        <w:rPr>
          <w:rFonts w:ascii="Arial" w:hAnsi="Arial"/>
          <w:sz w:val="24"/>
          <w:highlight w:val="yellow"/>
        </w:rPr>
        <w:t xml:space="preserve">Insert </w:t>
      </w:r>
      <w:r w:rsidR="0038797E">
        <w:rPr>
          <w:rFonts w:ascii="Arial" w:hAnsi="Arial"/>
          <w:b w:val="0"/>
          <w:sz w:val="24"/>
        </w:rPr>
        <w:t>the</w:t>
      </w:r>
      <w:r w:rsidR="000C76ED" w:rsidRPr="000C76ED">
        <w:rPr>
          <w:rFonts w:ascii="Arial" w:hAnsi="Arial"/>
          <w:b w:val="0"/>
          <w:sz w:val="24"/>
        </w:rPr>
        <w:t xml:space="preserve"> Sp</w:t>
      </w:r>
      <w:r w:rsidR="000C76ED">
        <w:rPr>
          <w:rFonts w:ascii="Arial" w:hAnsi="Arial"/>
          <w:b w:val="0"/>
          <w:sz w:val="24"/>
        </w:rPr>
        <w:t>ecification]</w:t>
      </w:r>
    </w:p>
    <w:p w:rsidR="007212F3" w:rsidRPr="000C76ED" w:rsidRDefault="007212F3" w:rsidP="006126A6">
      <w:pPr>
        <w:pStyle w:val="GPSL2NumberedBoldHeading"/>
        <w:ind w:left="0" w:firstLine="0"/>
        <w:jc w:val="left"/>
        <w:rPr>
          <w:rFonts w:ascii="Arial" w:hAnsi="Arial"/>
          <w:b w:val="0"/>
          <w:sz w:val="24"/>
          <w:highlight w:val="yellow"/>
        </w:rPr>
      </w:pPr>
    </w:p>
    <w:p w:rsidR="007212F3" w:rsidRDefault="007212F3">
      <w:pPr>
        <w:pStyle w:val="GPSL2NumberedBoldHeading"/>
        <w:ind w:left="0" w:firstLine="0"/>
        <w:rPr>
          <w:b w:val="0"/>
          <w:highlight w:val="yellow"/>
        </w:rPr>
        <w:sectPr w:rsidR="007212F3">
          <w:headerReference w:type="default" r:id="rId12"/>
          <w:footerReference w:type="default" r:id="rId13"/>
          <w:pgSz w:w="11906" w:h="16838"/>
          <w:pgMar w:top="1440" w:right="1440" w:bottom="1440" w:left="1440" w:header="708" w:footer="708" w:gutter="0"/>
          <w:cols w:space="708"/>
          <w:docGrid w:linePitch="360"/>
        </w:sectPr>
      </w:pPr>
    </w:p>
    <w:p w:rsidR="000854B6" w:rsidRDefault="000854B6">
      <w:pPr>
        <w:pStyle w:val="GPSL2NumberedBoldHeading"/>
        <w:ind w:left="0" w:firstLine="0"/>
        <w:rPr>
          <w:b w:val="0"/>
          <w:highlight w:val="yellow"/>
        </w:rPr>
      </w:pPr>
    </w:p>
    <w:sectPr w:rsidR="000854B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5FDD" w:rsidRDefault="00065FDD">
      <w:pPr>
        <w:spacing w:after="0" w:line="240" w:lineRule="auto"/>
      </w:pPr>
      <w:r>
        <w:separator/>
      </w:r>
    </w:p>
  </w:endnote>
  <w:endnote w:type="continuationSeparator" w:id="0">
    <w:p w:rsidR="00065FDD" w:rsidRDefault="00065FDD">
      <w:pPr>
        <w:spacing w:after="0" w:line="240" w:lineRule="auto"/>
      </w:pPr>
      <w:r>
        <w:continuationSeparator/>
      </w:r>
    </w:p>
  </w:endnote>
  <w:endnote w:type="continuationNotice" w:id="1">
    <w:p w:rsidR="00065FDD" w:rsidRDefault="00065F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2A5" w:rsidRPr="00391BFD" w:rsidRDefault="002752A5" w:rsidP="002752A5">
    <w:pPr>
      <w:tabs>
        <w:tab w:val="center" w:pos="4513"/>
        <w:tab w:val="right" w:pos="9026"/>
      </w:tabs>
      <w:overflowPunct w:val="0"/>
      <w:autoSpaceDE w:val="0"/>
      <w:autoSpaceDN w:val="0"/>
      <w:adjustRightInd w:val="0"/>
      <w:spacing w:after="0"/>
      <w:jc w:val="both"/>
      <w:rPr>
        <w:color w:val="BFBFBF" w:themeColor="background1" w:themeShade="BF"/>
      </w:rPr>
    </w:pPr>
  </w:p>
  <w:p w:rsidR="00DC32F8" w:rsidRPr="001C24FA" w:rsidRDefault="00DC32F8" w:rsidP="00DC32F8">
    <w:pPr>
      <w:tabs>
        <w:tab w:val="center" w:pos="4513"/>
        <w:tab w:val="right" w:pos="9026"/>
      </w:tabs>
      <w:spacing w:after="0"/>
      <w:rPr>
        <w:rFonts w:ascii="Arial" w:hAnsi="Arial" w:cs="Arial"/>
        <w:sz w:val="20"/>
        <w:szCs w:val="20"/>
      </w:rPr>
    </w:pPr>
    <w:r w:rsidRPr="001C24FA">
      <w:rPr>
        <w:rFonts w:ascii="Arial" w:hAnsi="Arial" w:cs="Arial"/>
        <w:sz w:val="20"/>
        <w:szCs w:val="20"/>
      </w:rPr>
      <w:t>Framework Ref: RM</w:t>
    </w:r>
    <w:r w:rsidR="00F20E3A">
      <w:rPr>
        <w:rFonts w:ascii="Arial" w:hAnsi="Arial" w:cs="Arial"/>
        <w:sz w:val="20"/>
        <w:szCs w:val="20"/>
      </w:rPr>
      <w:t>6325 Payment Acceptance 2</w:t>
    </w:r>
    <w:r w:rsidRPr="001C24FA">
      <w:rPr>
        <w:rFonts w:ascii="Arial" w:hAnsi="Arial" w:cs="Arial"/>
        <w:sz w:val="20"/>
        <w:szCs w:val="20"/>
      </w:rPr>
      <w:tab/>
      <w:t xml:space="preserve">                                           </w:t>
    </w:r>
  </w:p>
  <w:p w:rsidR="00DC32F8" w:rsidRPr="001C24FA" w:rsidRDefault="00DC32F8" w:rsidP="00DC32F8">
    <w:pPr>
      <w:pStyle w:val="Footer"/>
      <w:rPr>
        <w:rFonts w:ascii="Arial" w:hAnsi="Arial" w:cs="Arial"/>
        <w:sz w:val="20"/>
        <w:szCs w:val="20"/>
      </w:rPr>
    </w:pPr>
    <w:r w:rsidRPr="001C24FA">
      <w:rPr>
        <w:rFonts w:ascii="Arial" w:hAnsi="Arial" w:cs="Arial"/>
        <w:sz w:val="20"/>
        <w:szCs w:val="20"/>
      </w:rPr>
      <w:t>Project Version: v1.0</w:t>
    </w:r>
    <w:r w:rsidRPr="001C24FA">
      <w:rPr>
        <w:rFonts w:ascii="Arial" w:hAnsi="Arial" w:cs="Arial"/>
        <w:sz w:val="20"/>
        <w:szCs w:val="20"/>
      </w:rPr>
      <w:tab/>
    </w:r>
    <w:r w:rsidRPr="001C24FA">
      <w:rPr>
        <w:rFonts w:ascii="Arial" w:hAnsi="Arial" w:cs="Arial"/>
        <w:sz w:val="20"/>
        <w:szCs w:val="20"/>
      </w:rPr>
      <w:tab/>
      <w:t xml:space="preserve"> </w:t>
    </w:r>
    <w:r w:rsidRPr="001C24FA">
      <w:rPr>
        <w:rFonts w:ascii="Arial" w:hAnsi="Arial" w:cs="Arial"/>
        <w:sz w:val="20"/>
        <w:szCs w:val="20"/>
      </w:rPr>
      <w:fldChar w:fldCharType="begin"/>
    </w:r>
    <w:r w:rsidRPr="001C24FA">
      <w:rPr>
        <w:rFonts w:ascii="Arial" w:hAnsi="Arial" w:cs="Arial"/>
        <w:sz w:val="20"/>
        <w:szCs w:val="20"/>
      </w:rPr>
      <w:instrText xml:space="preserve"> PAGE   \* MERGEFORMAT </w:instrText>
    </w:r>
    <w:r w:rsidRPr="001C24FA">
      <w:rPr>
        <w:rFonts w:ascii="Arial" w:hAnsi="Arial" w:cs="Arial"/>
        <w:sz w:val="20"/>
        <w:szCs w:val="20"/>
      </w:rPr>
      <w:fldChar w:fldCharType="separate"/>
    </w:r>
    <w:r w:rsidR="00C66BA4">
      <w:rPr>
        <w:rFonts w:ascii="Arial" w:hAnsi="Arial" w:cs="Arial"/>
        <w:noProof/>
        <w:sz w:val="20"/>
        <w:szCs w:val="20"/>
      </w:rPr>
      <w:t>2</w:t>
    </w:r>
    <w:r w:rsidRPr="001C24FA">
      <w:rPr>
        <w:rFonts w:ascii="Arial" w:hAnsi="Arial" w:cs="Arial"/>
        <w:noProof/>
        <w:sz w:val="20"/>
        <w:szCs w:val="20"/>
      </w:rPr>
      <w:fldChar w:fldCharType="end"/>
    </w:r>
  </w:p>
  <w:p w:rsidR="000854B6" w:rsidRPr="002752A5" w:rsidRDefault="00A00838" w:rsidP="00DC32F8">
    <w:pPr>
      <w:overflowPunct w:val="0"/>
      <w:autoSpaceDE w:val="0"/>
      <w:autoSpaceDN w:val="0"/>
      <w:adjustRightInd w:val="0"/>
      <w:spacing w:after="0" w:line="240" w:lineRule="auto"/>
      <w:jc w:val="both"/>
      <w:rPr>
        <w:rFonts w:eastAsia="Times New Roman" w:cs="Arial"/>
      </w:rPr>
    </w:pPr>
    <w:r>
      <w:rPr>
        <w:rFonts w:ascii="Arial" w:hAnsi="Arial" w:cs="Arial"/>
        <w:sz w:val="20"/>
        <w:szCs w:val="20"/>
      </w:rPr>
      <w:t>Model Version: v3.2</w:t>
    </w:r>
    <w:r w:rsidR="00DC32F8" w:rsidRPr="001C24FA">
      <w:tab/>
    </w:r>
    <w:r w:rsidR="00DC32F8" w:rsidRPr="001C24FA">
      <w:tab/>
    </w:r>
    <w:r w:rsidR="00DC32F8" w:rsidRPr="001C24FA">
      <w:tab/>
    </w:r>
    <w:r w:rsidR="00DC32F8" w:rsidRPr="001C24FA">
      <w:rPr>
        <w:rFonts w:eastAsia="Times New Roman" w:cs="Arial"/>
      </w:rPr>
      <w:tab/>
    </w:r>
    <w:bookmarkStart w:id="5" w:name="LASTCURSORPOSITION"/>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5FDD" w:rsidRDefault="00065FDD">
      <w:pPr>
        <w:spacing w:after="0" w:line="240" w:lineRule="auto"/>
      </w:pPr>
      <w:r>
        <w:separator/>
      </w:r>
    </w:p>
  </w:footnote>
  <w:footnote w:type="continuationSeparator" w:id="0">
    <w:p w:rsidR="00065FDD" w:rsidRDefault="00065FDD">
      <w:pPr>
        <w:spacing w:after="0" w:line="240" w:lineRule="auto"/>
      </w:pPr>
      <w:r>
        <w:continuationSeparator/>
      </w:r>
    </w:p>
  </w:footnote>
  <w:footnote w:type="continuationNotice" w:id="1">
    <w:p w:rsidR="00065FDD" w:rsidRDefault="00065F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582" w:rsidRPr="001C24FA" w:rsidRDefault="00510582">
    <w:pPr>
      <w:pStyle w:val="Header"/>
      <w:rPr>
        <w:rFonts w:ascii="Arial" w:hAnsi="Arial" w:cs="Arial"/>
        <w:b/>
        <w:sz w:val="20"/>
        <w:szCs w:val="20"/>
      </w:rPr>
    </w:pPr>
    <w:r w:rsidRPr="001C24FA">
      <w:rPr>
        <w:rFonts w:ascii="Arial" w:hAnsi="Arial" w:cs="Arial"/>
        <w:b/>
        <w:sz w:val="20"/>
        <w:szCs w:val="20"/>
      </w:rPr>
      <w:t>Framework Schedule 1 (Specification)</w:t>
    </w:r>
  </w:p>
  <w:p w:rsidR="000854B6" w:rsidRPr="00510582" w:rsidRDefault="002752A5">
    <w:pPr>
      <w:pStyle w:val="Header"/>
      <w:rPr>
        <w:rFonts w:ascii="Arial" w:hAnsi="Arial" w:cs="Arial"/>
        <w:b/>
        <w:color w:val="BFBFBF" w:themeColor="background1" w:themeShade="BF"/>
        <w:sz w:val="20"/>
        <w:szCs w:val="20"/>
      </w:rPr>
    </w:pPr>
    <w:r w:rsidRPr="001C24FA">
      <w:rPr>
        <w:rFonts w:ascii="Arial" w:hAnsi="Arial" w:cs="Arial"/>
        <w:sz w:val="20"/>
        <w:szCs w:val="20"/>
      </w:rPr>
      <w:t>Crown Copyright</w:t>
    </w:r>
    <w:r w:rsidRPr="001C24FA">
      <w:rPr>
        <w:rFonts w:ascii="Arial" w:hAnsi="Arial" w:cs="Arial"/>
        <w:sz w:val="20"/>
        <w:szCs w:val="20"/>
        <w:lang w:eastAsia="en-GB"/>
      </w:rPr>
      <w:t xml:space="preserve"> </w:t>
    </w:r>
    <w:r w:rsidR="008113CB" w:rsidRPr="001C24FA">
      <w:rPr>
        <w:rFonts w:ascii="Arial" w:hAnsi="Arial" w:cs="Arial"/>
        <w:sz w:val="20"/>
        <w:szCs w:val="20"/>
        <w:lang w:eastAsia="en-GB"/>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4E097F"/>
    <w:multiLevelType w:val="multilevel"/>
    <w:tmpl w:val="D3BEA3C4"/>
    <w:lvl w:ilvl="0">
      <w:start w:val="1"/>
      <w:numFmt w:val="decimal"/>
      <w:lvlText w:val="%1."/>
      <w:lvlJc w:val="left"/>
      <w:pPr>
        <w:ind w:left="2380" w:hanging="1104"/>
      </w:pPr>
      <w:rPr>
        <w:b/>
      </w:rPr>
    </w:lvl>
    <w:lvl w:ilvl="1">
      <w:start w:val="1"/>
      <w:numFmt w:val="decimal"/>
      <w:lvlText w:val="%1.%2."/>
      <w:lvlJc w:val="right"/>
      <w:pPr>
        <w:ind w:left="2575" w:hanging="720"/>
      </w:pPr>
      <w:rPr>
        <w:rFonts w:ascii="Arial" w:eastAsia="Arial" w:hAnsi="Arial" w:cs="Arial"/>
        <w:b w:val="0"/>
        <w:sz w:val="22"/>
        <w:szCs w:val="22"/>
      </w:rPr>
    </w:lvl>
    <w:lvl w:ilvl="2">
      <w:start w:val="1"/>
      <w:numFmt w:val="decimal"/>
      <w:lvlText w:val="%1.%2.%3."/>
      <w:lvlJc w:val="right"/>
      <w:pPr>
        <w:ind w:left="3100" w:hanging="720"/>
      </w:pPr>
      <w:rPr>
        <w:rFonts w:ascii="Arial" w:eastAsia="Arial" w:hAnsi="Arial" w:cs="Arial"/>
        <w:b w:val="0"/>
        <w:color w:val="000000"/>
        <w:sz w:val="22"/>
        <w:szCs w:val="22"/>
      </w:rPr>
    </w:lvl>
    <w:lvl w:ilvl="3">
      <w:start w:val="1"/>
      <w:numFmt w:val="decimal"/>
      <w:lvlText w:val="%1.%2.%3.%4."/>
      <w:lvlJc w:val="right"/>
      <w:pPr>
        <w:ind w:left="3458" w:hanging="358"/>
      </w:pPr>
      <w:rPr>
        <w:rFonts w:ascii="Arial" w:eastAsia="Arial" w:hAnsi="Arial" w:cs="Arial"/>
        <w:sz w:val="22"/>
        <w:szCs w:val="22"/>
      </w:rPr>
    </w:lvl>
    <w:lvl w:ilvl="4">
      <w:start w:val="1"/>
      <w:numFmt w:val="decimal"/>
      <w:lvlText w:val="%1.%2.%3.%4.%5."/>
      <w:lvlJc w:val="right"/>
      <w:pPr>
        <w:ind w:left="5522" w:hanging="357"/>
      </w:pPr>
    </w:lvl>
    <w:lvl w:ilvl="5">
      <w:start w:val="1"/>
      <w:numFmt w:val="decimal"/>
      <w:lvlText w:val="%1.%2.%3.%4.%5.%6."/>
      <w:lvlJc w:val="right"/>
      <w:pPr>
        <w:ind w:left="6553" w:hanging="358"/>
      </w:pPr>
    </w:lvl>
    <w:lvl w:ilvl="6">
      <w:start w:val="1"/>
      <w:numFmt w:val="decimal"/>
      <w:lvlText w:val="%1.%2.%3.%4.%5.%6.%7."/>
      <w:lvlJc w:val="right"/>
      <w:pPr>
        <w:ind w:left="7584" w:hanging="358"/>
      </w:pPr>
    </w:lvl>
    <w:lvl w:ilvl="7">
      <w:start w:val="1"/>
      <w:numFmt w:val="decimal"/>
      <w:lvlText w:val="%1.%2.%3.%4.%5.%6.%7.%8."/>
      <w:lvlJc w:val="right"/>
      <w:pPr>
        <w:ind w:left="8615" w:hanging="358"/>
      </w:pPr>
    </w:lvl>
    <w:lvl w:ilvl="8">
      <w:start w:val="1"/>
      <w:numFmt w:val="decimal"/>
      <w:lvlText w:val="%1.%2.%3.%4.%5.%6.%7.%8.%9."/>
      <w:lvlJc w:val="right"/>
      <w:pPr>
        <w:ind w:left="9646" w:hanging="358"/>
      </w:pPr>
    </w:lvl>
  </w:abstractNum>
  <w:abstractNum w:abstractNumId="3"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15:restartNumberingAfterBreak="0">
    <w:nsid w:val="4AD8780E"/>
    <w:multiLevelType w:val="multilevel"/>
    <w:tmpl w:val="2B58246C"/>
    <w:lvl w:ilvl="0">
      <w:start w:val="2"/>
      <w:numFmt w:val="decimal"/>
      <w:lvlText w:val="%1."/>
      <w:lvlJc w:val="left"/>
      <w:pPr>
        <w:ind w:left="360" w:hanging="360"/>
      </w:pPr>
      <w:rPr>
        <w:b w:val="0"/>
      </w:rPr>
    </w:lvl>
    <w:lvl w:ilvl="1">
      <w:start w:val="30"/>
      <w:numFmt w:val="decimal"/>
      <w:lvlText w:val="%1.%2."/>
      <w:lvlJc w:val="left"/>
      <w:pPr>
        <w:ind w:left="792" w:hanging="432"/>
      </w:pPr>
      <w:rPr>
        <w:b w:val="0"/>
        <w:strike w:val="0"/>
      </w:rPr>
    </w:lvl>
    <w:lvl w:ilvl="2">
      <w:start w:val="1"/>
      <w:numFmt w:val="decimal"/>
      <w:lvlText w:val="%1.%2.%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972140B"/>
    <w:multiLevelType w:val="multilevel"/>
    <w:tmpl w:val="974EFD1A"/>
    <w:lvl w:ilvl="0">
      <w:start w:val="1"/>
      <w:numFmt w:val="decimal"/>
      <w:lvlText w:val="%1."/>
      <w:lvlJc w:val="left"/>
      <w:pPr>
        <w:tabs>
          <w:tab w:val="num" w:pos="720"/>
        </w:tabs>
        <w:ind w:left="720" w:hanging="720"/>
      </w:pPr>
      <w:rPr>
        <w:rFonts w:hint="default"/>
        <w:b/>
        <w:i w:val="0"/>
        <w:caps w:val="0"/>
        <w:effect w:val="none"/>
      </w:rPr>
    </w:lvl>
    <w:lvl w:ilvl="1">
      <w:start w:val="1"/>
      <w:numFmt w:val="decimal"/>
      <w:lvlText w:val="%1.%2"/>
      <w:lvlJc w:val="left"/>
      <w:pPr>
        <w:tabs>
          <w:tab w:val="num" w:pos="1440"/>
        </w:tabs>
        <w:ind w:left="1440" w:hanging="720"/>
      </w:pPr>
      <w:rPr>
        <w:rFonts w:hint="default"/>
        <w:b w:val="0"/>
        <w:caps w:val="0"/>
        <w:effect w:val="none"/>
      </w:rPr>
    </w:lvl>
    <w:lvl w:ilvl="2">
      <w:start w:val="1"/>
      <w:numFmt w:val="decimal"/>
      <w:lvlRestart w:val="1"/>
      <w:lvlText w:val="%1.%2.%3"/>
      <w:lvlJc w:val="left"/>
      <w:pPr>
        <w:tabs>
          <w:tab w:val="num" w:pos="2520"/>
        </w:tabs>
        <w:ind w:left="2520" w:hanging="1080"/>
      </w:pPr>
      <w:rPr>
        <w:rFonts w:ascii="Arial" w:hAnsi="Arial" w:hint="default"/>
        <w:caps w:val="0"/>
        <w:sz w:val="24"/>
        <w:effect w:val="none"/>
      </w:rPr>
    </w:lvl>
    <w:lvl w:ilvl="3">
      <w:start w:val="1"/>
      <w:numFmt w:val="decimal"/>
      <w:lvlText w:val="%1.%2.%3.%4"/>
      <w:lvlJc w:val="left"/>
      <w:pPr>
        <w:tabs>
          <w:tab w:val="num" w:pos="3600"/>
        </w:tabs>
        <w:ind w:left="3600" w:hanging="1080"/>
      </w:pPr>
      <w:rPr>
        <w:rFonts w:ascii="Arial" w:hAnsi="Arial" w:hint="default"/>
        <w:caps w:val="0"/>
        <w:sz w:val="24"/>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7" w15:restartNumberingAfterBreak="0">
    <w:nsid w:val="6C61255C"/>
    <w:multiLevelType w:val="hybridMultilevel"/>
    <w:tmpl w:val="DD3E1C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D35CD1"/>
    <w:multiLevelType w:val="multilevel"/>
    <w:tmpl w:val="239C7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72936E4"/>
    <w:multiLevelType w:val="multilevel"/>
    <w:tmpl w:val="A87C1072"/>
    <w:lvl w:ilvl="0">
      <w:start w:val="1"/>
      <w:numFmt w:val="decimal"/>
      <w:pStyle w:val="Heading1"/>
      <w:lvlText w:val="%1."/>
      <w:lvlJc w:val="left"/>
      <w:pPr>
        <w:tabs>
          <w:tab w:val="num" w:pos="720"/>
        </w:tabs>
        <w:ind w:left="720" w:hanging="720"/>
      </w:pPr>
      <w:rPr>
        <w:rFonts w:hint="default"/>
        <w:b/>
        <w:bCs w:val="0"/>
        <w:iCs w:val="0"/>
        <w:caps w:val="0"/>
        <w:smallCaps w:val="0"/>
        <w:strike w:val="0"/>
        <w:dstrike w:val="0"/>
        <w:noProof w:val="0"/>
        <w:vanish w:val="0"/>
        <w:color w:val="000000"/>
        <w:spacing w:val="0"/>
        <w:kern w:val="0"/>
        <w:position w:val="0"/>
        <w:sz w:val="24"/>
        <w:szCs w:val="24"/>
        <w:u w:val="none"/>
        <w:vertAlign w:val="baseline"/>
        <w:em w:val="none"/>
      </w:rPr>
    </w:lvl>
    <w:lvl w:ilvl="1">
      <w:start w:val="1"/>
      <w:numFmt w:val="decimal"/>
      <w:pStyle w:val="Heading2"/>
      <w:lvlText w:val="%1.%2."/>
      <w:lvlJc w:val="left"/>
      <w:pPr>
        <w:tabs>
          <w:tab w:val="num" w:pos="1800"/>
        </w:tabs>
        <w:ind w:left="1800" w:hanging="1080"/>
      </w:pPr>
      <w:rPr>
        <w:rFonts w:ascii="Arial" w:hAnsi="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880"/>
        </w:tabs>
        <w:ind w:left="288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B9564B1"/>
    <w:multiLevelType w:val="hybridMultilevel"/>
    <w:tmpl w:val="7680B0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0"/>
  </w:num>
  <w:num w:numId="3">
    <w:abstractNumId w:val="1"/>
  </w:num>
  <w:num w:numId="4">
    <w:abstractNumId w:val="3"/>
  </w:num>
  <w:num w:numId="5">
    <w:abstractNumId w:val="9"/>
  </w:num>
  <w:num w:numId="6">
    <w:abstractNumId w:val="11"/>
  </w:num>
  <w:num w:numId="7">
    <w:abstractNumId w:val="7"/>
  </w:num>
  <w:num w:numId="8">
    <w:abstractNumId w:val="4"/>
  </w:num>
  <w:num w:numId="9">
    <w:abstractNumId w:val="8"/>
  </w:num>
  <w:num w:numId="10">
    <w:abstractNumId w:val="2"/>
  </w:num>
  <w:num w:numId="11">
    <w:abstractNumId w:val="10"/>
  </w:num>
  <w:num w:numId="12">
    <w:abstractNumId w:val="10"/>
  </w:num>
  <w:num w:numId="13">
    <w:abstractNumId w:val="6"/>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4B6"/>
    <w:rsid w:val="00065FDD"/>
    <w:rsid w:val="000850BE"/>
    <w:rsid w:val="000854B6"/>
    <w:rsid w:val="000B5BD9"/>
    <w:rsid w:val="000C76ED"/>
    <w:rsid w:val="0013236B"/>
    <w:rsid w:val="001C24FA"/>
    <w:rsid w:val="00210801"/>
    <w:rsid w:val="002752A5"/>
    <w:rsid w:val="002A6850"/>
    <w:rsid w:val="002D511B"/>
    <w:rsid w:val="00310238"/>
    <w:rsid w:val="0038797E"/>
    <w:rsid w:val="00387A58"/>
    <w:rsid w:val="00391BFD"/>
    <w:rsid w:val="003B027F"/>
    <w:rsid w:val="004F2EA6"/>
    <w:rsid w:val="00510582"/>
    <w:rsid w:val="006126A6"/>
    <w:rsid w:val="00627A83"/>
    <w:rsid w:val="007167E7"/>
    <w:rsid w:val="007212F3"/>
    <w:rsid w:val="008113CB"/>
    <w:rsid w:val="00823CBA"/>
    <w:rsid w:val="008906FA"/>
    <w:rsid w:val="00892C47"/>
    <w:rsid w:val="008F19A4"/>
    <w:rsid w:val="00902607"/>
    <w:rsid w:val="009F4EF7"/>
    <w:rsid w:val="00A00838"/>
    <w:rsid w:val="00A01379"/>
    <w:rsid w:val="00B0302D"/>
    <w:rsid w:val="00C66BA4"/>
    <w:rsid w:val="00C7760F"/>
    <w:rsid w:val="00C918F0"/>
    <w:rsid w:val="00CA1D4D"/>
    <w:rsid w:val="00CD71F7"/>
    <w:rsid w:val="00D346BD"/>
    <w:rsid w:val="00DB75D4"/>
    <w:rsid w:val="00DC32F8"/>
    <w:rsid w:val="00EB5783"/>
    <w:rsid w:val="00EC3D84"/>
    <w:rsid w:val="00F20E3A"/>
    <w:rsid w:val="00FD5D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CF7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50BE"/>
    <w:pPr>
      <w:keepNext/>
      <w:keepLines/>
      <w:numPr>
        <w:numId w:val="1"/>
      </w:numPr>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6126A6"/>
    <w:pPr>
      <w:keepNext/>
      <w:keepLines/>
      <w:numPr>
        <w:ilvl w:val="1"/>
        <w:numId w:val="1"/>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link w:val="Heading5Char"/>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pPr>
      <w:numPr>
        <w:numId w:val="2"/>
      </w:numPr>
    </w:pPr>
  </w:style>
  <w:style w:type="paragraph" w:styleId="ListParagraph">
    <w:name w:val="List Paragraph"/>
    <w:basedOn w:val="Normal"/>
    <w:pPr>
      <w:suppressAutoHyphens/>
      <w:autoSpaceDN w:val="0"/>
      <w:ind w:left="720"/>
      <w:textAlignment w:val="baseline"/>
    </w:pPr>
    <w:rPr>
      <w:rFonts w:ascii="Calibri" w:eastAsia="Calibri" w:hAnsi="Calibri" w:cs="Times New Roman"/>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uppressAutoHyphens/>
      <w:autoSpaceDN w:val="0"/>
      <w:spacing w:line="240" w:lineRule="auto"/>
      <w:textAlignment w:val="baseline"/>
    </w:pPr>
    <w:rPr>
      <w:rFonts w:ascii="Calibri" w:eastAsia="Calibri" w:hAnsi="Calibri" w:cs="Times New Roman"/>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character" w:customStyle="1" w:styleId="GPSL5numberedclauseChar">
    <w:name w:val="GPS L5 numbered clause Char"/>
    <w:link w:val="GPSL5numberedclause"/>
    <w:locked/>
    <w:rPr>
      <w:rFonts w:ascii="Calibri" w:eastAsia="Times New Roman" w:hAnsi="Calibri"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GPSL3numberedclause"/>
    <w:link w:val="GPSL3GuidanceChar"/>
    <w:qFormat/>
    <w:pPr>
      <w:numPr>
        <w:ilvl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character" w:customStyle="1" w:styleId="Heading1Char">
    <w:name w:val="Heading 1 Char"/>
    <w:basedOn w:val="DefaultParagraphFont"/>
    <w:link w:val="Heading1"/>
    <w:uiPriority w:val="9"/>
    <w:rsid w:val="000850BE"/>
    <w:rPr>
      <w:rFonts w:asciiTheme="majorHAnsi" w:eastAsiaTheme="majorEastAsia" w:hAnsiTheme="majorHAnsi" w:cstheme="majorBidi"/>
      <w:color w:val="365F91" w:themeColor="accent1" w:themeShade="BF"/>
      <w:sz w:val="32"/>
      <w:szCs w:val="32"/>
    </w:rPr>
  </w:style>
  <w:style w:type="table" w:customStyle="1" w:styleId="1">
    <w:name w:val="1"/>
    <w:basedOn w:val="TableNormal"/>
    <w:rsid w:val="00823CBA"/>
    <w:pPr>
      <w:spacing w:after="0" w:line="240" w:lineRule="auto"/>
      <w:jc w:val="both"/>
    </w:pPr>
    <w:rPr>
      <w:rFonts w:ascii="Arial" w:eastAsia="Arial" w:hAnsi="Arial" w:cs="Arial"/>
      <w:sz w:val="20"/>
      <w:szCs w:val="20"/>
      <w:lang w:eastAsia="en-GB"/>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4435202">
      <w:bodyDiv w:val="1"/>
      <w:marLeft w:val="0"/>
      <w:marRight w:val="0"/>
      <w:marTop w:val="0"/>
      <w:marBottom w:val="0"/>
      <w:divBdr>
        <w:top w:val="none" w:sz="0" w:space="0" w:color="auto"/>
        <w:left w:val="none" w:sz="0" w:space="0" w:color="auto"/>
        <w:bottom w:val="none" w:sz="0" w:space="0" w:color="auto"/>
        <w:right w:val="none" w:sz="0" w:space="0" w:color="auto"/>
      </w:divBdr>
    </w:div>
    <w:div w:id="1199856814">
      <w:bodyDiv w:val="1"/>
      <w:marLeft w:val="0"/>
      <w:marRight w:val="0"/>
      <w:marTop w:val="0"/>
      <w:marBottom w:val="0"/>
      <w:divBdr>
        <w:top w:val="none" w:sz="0" w:space="0" w:color="auto"/>
        <w:left w:val="none" w:sz="0" w:space="0" w:color="auto"/>
        <w:bottom w:val="none" w:sz="0" w:space="0" w:color="auto"/>
        <w:right w:val="none" w:sz="0" w:space="0" w:color="auto"/>
      </w:divBdr>
    </w:div>
    <w:div w:id="1638416650">
      <w:bodyDiv w:val="1"/>
      <w:marLeft w:val="0"/>
      <w:marRight w:val="0"/>
      <w:marTop w:val="0"/>
      <w:marBottom w:val="0"/>
      <w:divBdr>
        <w:top w:val="none" w:sz="0" w:space="0" w:color="auto"/>
        <w:left w:val="none" w:sz="0" w:space="0" w:color="auto"/>
        <w:bottom w:val="none" w:sz="0" w:space="0" w:color="auto"/>
        <w:right w:val="none" w:sz="0" w:space="0" w:color="auto"/>
      </w:divBdr>
    </w:div>
    <w:div w:id="170598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Payment_card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Acquiring_ban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n.wikipedia.org/wiki/Financial_institution" TargetMode="External"/><Relationship Id="rId4" Type="http://schemas.openxmlformats.org/officeDocument/2006/relationships/settings" Target="settings.xml"/><Relationship Id="rId9" Type="http://schemas.openxmlformats.org/officeDocument/2006/relationships/hyperlink" Target="https://en.wikipedia.org/wiki/Ban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FDE0-833E-4515-8497-7D8840EA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1751</Words>
  <Characters>9984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2023-08-25T11:27:00Z</dcterms:created>
  <dcterms:modified xsi:type="dcterms:W3CDTF">2023-08-25T11:27:00Z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